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E0B1F">
      <w:pPr>
        <w:pStyle w:val="5"/>
        <w:ind w:left="0" w:firstLine="0"/>
        <w:rPr>
          <w:rFonts w:ascii="Times New Roman" w:hAnsi="Times New Roman" w:cs="Times New Roman"/>
          <w:sz w:val="20"/>
        </w:rPr>
      </w:pPr>
    </w:p>
    <w:p w14:paraId="16CD7EC7">
      <w:pPr>
        <w:pStyle w:val="5"/>
        <w:ind w:left="0" w:firstLine="0"/>
        <w:rPr>
          <w:rFonts w:ascii="Times New Roman" w:hAnsi="Times New Roman" w:cs="Times New Roman"/>
          <w:sz w:val="20"/>
        </w:rPr>
      </w:pPr>
    </w:p>
    <w:p w14:paraId="64855BF4">
      <w:pPr>
        <w:pStyle w:val="5"/>
        <w:ind w:left="0" w:firstLine="0"/>
        <w:rPr>
          <w:rFonts w:ascii="Times New Roman" w:hAnsi="Times New Roman" w:cs="Times New Roman"/>
          <w:sz w:val="20"/>
        </w:rPr>
      </w:pPr>
    </w:p>
    <w:p w14:paraId="6B257A4D">
      <w:pPr>
        <w:pStyle w:val="5"/>
        <w:ind w:left="0" w:firstLine="0"/>
        <w:rPr>
          <w:rFonts w:ascii="Times New Roman" w:hAnsi="Times New Roman" w:cs="Times New Roman"/>
          <w:sz w:val="20"/>
        </w:rPr>
      </w:pPr>
    </w:p>
    <w:p w14:paraId="17D1D3F0">
      <w:pPr>
        <w:pStyle w:val="5"/>
        <w:ind w:left="0" w:firstLine="0"/>
        <w:rPr>
          <w:rFonts w:ascii="Times New Roman" w:hAnsi="Times New Roman" w:cs="Times New Roman"/>
          <w:sz w:val="20"/>
        </w:rPr>
      </w:pPr>
    </w:p>
    <w:p w14:paraId="67BC4A51">
      <w:pPr>
        <w:pStyle w:val="5"/>
        <w:ind w:left="0" w:firstLine="0"/>
        <w:rPr>
          <w:rFonts w:ascii="Times New Roman" w:hAnsi="Times New Roman" w:cs="Times New Roman"/>
          <w:sz w:val="20"/>
        </w:rPr>
      </w:pPr>
    </w:p>
    <w:p w14:paraId="3D7C051B">
      <w:pPr>
        <w:pStyle w:val="5"/>
        <w:ind w:left="0" w:firstLine="0"/>
        <w:rPr>
          <w:rFonts w:ascii="Times New Roman" w:hAnsi="Times New Roman" w:cs="Times New Roman"/>
          <w:sz w:val="20"/>
        </w:rPr>
      </w:pPr>
    </w:p>
    <w:p w14:paraId="59DCA410">
      <w:pPr>
        <w:pStyle w:val="5"/>
        <w:ind w:left="0" w:firstLine="0"/>
        <w:rPr>
          <w:rFonts w:ascii="Times New Roman" w:hAnsi="Times New Roman" w:cs="Times New Roman"/>
          <w:sz w:val="20"/>
        </w:rPr>
      </w:pPr>
    </w:p>
    <w:p w14:paraId="008EF00E">
      <w:pPr>
        <w:pStyle w:val="5"/>
        <w:ind w:left="0" w:firstLine="0"/>
        <w:rPr>
          <w:rFonts w:ascii="Times New Roman" w:hAnsi="Times New Roman" w:cs="Times New Roman"/>
          <w:sz w:val="20"/>
        </w:rPr>
      </w:pPr>
    </w:p>
    <w:p w14:paraId="069BEE54">
      <w:pPr>
        <w:pStyle w:val="5"/>
        <w:ind w:left="0" w:firstLine="0"/>
        <w:rPr>
          <w:rFonts w:ascii="Times New Roman" w:hAnsi="Times New Roman" w:cs="Times New Roman"/>
          <w:sz w:val="20"/>
        </w:rPr>
      </w:pPr>
    </w:p>
    <w:p w14:paraId="2712CA8F">
      <w:pPr>
        <w:pStyle w:val="5"/>
        <w:ind w:left="0" w:firstLine="0"/>
        <w:rPr>
          <w:rFonts w:ascii="Times New Roman" w:hAnsi="Times New Roman" w:cs="Times New Roman"/>
          <w:sz w:val="20"/>
        </w:rPr>
      </w:pPr>
    </w:p>
    <w:p w14:paraId="16F19E36">
      <w:pPr>
        <w:pStyle w:val="5"/>
        <w:ind w:left="0" w:firstLine="0"/>
        <w:rPr>
          <w:rFonts w:ascii="Times New Roman" w:hAnsi="Times New Roman" w:cs="Times New Roman"/>
          <w:sz w:val="20"/>
        </w:rPr>
      </w:pPr>
    </w:p>
    <w:p w14:paraId="4E4F3207">
      <w:pPr>
        <w:pStyle w:val="5"/>
        <w:ind w:left="0" w:firstLine="0"/>
        <w:rPr>
          <w:rFonts w:ascii="Times New Roman" w:hAnsi="Times New Roman" w:cs="Times New Roman"/>
          <w:sz w:val="20"/>
        </w:rPr>
      </w:pPr>
    </w:p>
    <w:p w14:paraId="4F3F25C6">
      <w:pPr>
        <w:pStyle w:val="5"/>
        <w:ind w:left="0" w:firstLine="0"/>
        <w:rPr>
          <w:rFonts w:ascii="Times New Roman" w:hAnsi="Times New Roman" w:cs="Times New Roman"/>
          <w:sz w:val="20"/>
        </w:rPr>
      </w:pPr>
    </w:p>
    <w:p w14:paraId="4498FC63">
      <w:pPr>
        <w:pStyle w:val="5"/>
        <w:ind w:left="0" w:firstLine="0"/>
        <w:rPr>
          <w:rFonts w:ascii="Times New Roman" w:hAnsi="Times New Roman" w:cs="Times New Roman"/>
          <w:sz w:val="20"/>
        </w:rPr>
      </w:pPr>
    </w:p>
    <w:p w14:paraId="3C174B8A">
      <w:pPr>
        <w:pStyle w:val="5"/>
        <w:spacing w:before="10"/>
        <w:ind w:left="0" w:firstLine="0"/>
        <w:rPr>
          <w:rFonts w:ascii="Times New Roman" w:hAnsi="Times New Roman" w:cs="Times New Roman"/>
          <w:sz w:val="22"/>
        </w:rPr>
      </w:pPr>
    </w:p>
    <w:p w14:paraId="45AE74A8">
      <w:pPr>
        <w:autoSpaceDE/>
        <w:autoSpaceDN/>
        <w:snapToGrid w:val="0"/>
        <w:spacing w:line="360" w:lineRule="auto"/>
        <w:jc w:val="center"/>
        <w:rPr>
          <w:rFonts w:hint="eastAsia" w:ascii="方正小标宋简体" w:hAnsi="方正小标宋简体" w:eastAsia="方正小标宋简体" w:cs="方正小标宋简体"/>
          <w:bCs/>
          <w:kern w:val="2"/>
          <w:sz w:val="44"/>
          <w:szCs w:val="44"/>
          <w:lang w:val="en-US" w:bidi="ar-SA"/>
        </w:rPr>
      </w:pPr>
      <w:r>
        <w:rPr>
          <w:rFonts w:hint="eastAsia" w:ascii="方正小标宋简体" w:hAnsi="方正小标宋简体" w:eastAsia="方正小标宋简体" w:cs="方正小标宋简体"/>
          <w:bCs/>
          <w:kern w:val="2"/>
          <w:sz w:val="44"/>
          <w:szCs w:val="44"/>
          <w:lang w:val="en-US" w:bidi="ar-SA"/>
        </w:rPr>
        <w:t>佳木斯市向阳区</w:t>
      </w:r>
      <w:r>
        <w:rPr>
          <w:rFonts w:hint="eastAsia" w:ascii="方正小标宋简体" w:hAnsi="方正小标宋简体" w:eastAsia="方正小标宋简体" w:cs="方正小标宋简体"/>
          <w:bCs/>
          <w:kern w:val="2"/>
          <w:sz w:val="44"/>
          <w:szCs w:val="44"/>
          <w:lang w:val="en-US" w:eastAsia="zh-CN" w:bidi="ar-SA"/>
        </w:rPr>
        <w:t>突发事件</w:t>
      </w:r>
      <w:r>
        <w:rPr>
          <w:rFonts w:hint="eastAsia" w:ascii="方正小标宋简体" w:hAnsi="方正小标宋简体" w:eastAsia="方正小标宋简体" w:cs="方正小标宋简体"/>
          <w:bCs/>
          <w:kern w:val="2"/>
          <w:sz w:val="44"/>
          <w:szCs w:val="44"/>
          <w:lang w:val="en-US" w:bidi="ar-SA"/>
        </w:rPr>
        <w:t>总体应急预案</w:t>
      </w:r>
    </w:p>
    <w:p w14:paraId="50BE2134">
      <w:pPr>
        <w:jc w:val="center"/>
        <w:rPr>
          <w:rFonts w:ascii="Times New Roman" w:hAnsi="Times New Roman" w:cs="Times New Roman"/>
          <w:sz w:val="72"/>
          <w:szCs w:val="72"/>
        </w:rPr>
        <w:sectPr>
          <w:footerReference r:id="rId3" w:type="default"/>
          <w:type w:val="continuous"/>
          <w:pgSz w:w="11910" w:h="16840"/>
          <w:pgMar w:top="1580" w:right="1340" w:bottom="1180" w:left="1480" w:header="720" w:footer="993" w:gutter="0"/>
          <w:pgNumType w:fmt="decimal" w:start="1"/>
          <w:cols w:space="720" w:num="1"/>
        </w:sectPr>
      </w:pPr>
    </w:p>
    <w:sdt>
      <w:sdtPr>
        <w:rPr>
          <w:rFonts w:hint="eastAsia" w:asciiTheme="majorEastAsia" w:hAnsiTheme="majorEastAsia" w:eastAsiaTheme="majorEastAsia" w:cstheme="majorEastAsia"/>
          <w:sz w:val="32"/>
          <w:szCs w:val="32"/>
        </w:rPr>
        <w:id w:val="147482578"/>
        <w15:color w:val="DBDBDB"/>
        <w:docPartObj>
          <w:docPartGallery w:val="Table of Contents"/>
          <w:docPartUnique/>
        </w:docPartObj>
      </w:sdtPr>
      <w:sdtEndPr>
        <w:rPr>
          <w:rFonts w:hint="default" w:ascii="Times New Roman" w:hAnsi="Times New Roman" w:eastAsia="方正小标宋简体" w:cs="Times New Roman"/>
          <w:sz w:val="28"/>
          <w:szCs w:val="28"/>
        </w:rPr>
      </w:sdtEndPr>
      <w:sdtContent>
        <w:p w14:paraId="290CAF5E">
          <w:pPr>
            <w:jc w:val="center"/>
            <w:rPr>
              <w:rFonts w:hint="eastAsia" w:ascii="宋体" w:hAnsi="宋体" w:eastAsia="宋体" w:cs="宋体"/>
              <w:sz w:val="32"/>
              <w:szCs w:val="32"/>
            </w:rPr>
          </w:pPr>
          <w:r>
            <w:rPr>
              <w:rFonts w:hint="eastAsia" w:ascii="宋体" w:hAnsi="宋体" w:eastAsia="宋体" w:cs="宋体"/>
              <w:sz w:val="32"/>
              <w:szCs w:val="32"/>
            </w:rPr>
            <w:t>目录</w:t>
          </w:r>
        </w:p>
        <w:p w14:paraId="56826740">
          <w:pPr>
            <w:pStyle w:val="9"/>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_Toc24074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一、总则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_Toc24074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AECFA9A">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_Toc18568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（一）编制目的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_Toc18568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AF01344">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_Toc24316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（二）编制依据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_Toc24316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45F9D81">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_Toc32269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（三）适用范围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_Toc32269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4581A84">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_Toc3326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（四）工作原则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_Toc3326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F87133C">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_Toc8554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（五）突发事件的概念</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_Toc8554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498F4E2">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_Toc20313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（六）突发事件分类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_Toc20313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EB61C81">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_Toc14117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（七）突发事件分级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_Toc14117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7966726">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_Toc20845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（八） 预案体系</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_Toc20845 \h </w:instrText>
          </w:r>
          <w:r>
            <w:rPr>
              <w:rFonts w:hint="eastAsia" w:ascii="仿宋" w:hAnsi="仿宋" w:eastAsia="仿宋" w:cs="仿宋"/>
              <w:sz w:val="32"/>
              <w:szCs w:val="32"/>
            </w:rPr>
            <w:fldChar w:fldCharType="separate"/>
          </w:r>
          <w:r>
            <w:rPr>
              <w:rFonts w:hint="eastAsia" w:ascii="仿宋" w:hAnsi="仿宋" w:eastAsia="仿宋" w:cs="仿宋"/>
              <w:sz w:val="32"/>
              <w:szCs w:val="32"/>
            </w:rPr>
            <w:t>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EBEBA58">
          <w:pPr>
            <w:pStyle w:val="9"/>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_Toc23106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rPr>
            <w:t>二、应急组织指挥体系和职责</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_Toc23106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5D391F8">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_Toc4777 </w:instrText>
          </w:r>
          <w:r>
            <w:rPr>
              <w:rFonts w:hint="eastAsia" w:ascii="仿宋" w:hAnsi="仿宋" w:eastAsia="仿宋" w:cs="仿宋"/>
              <w:sz w:val="32"/>
              <w:szCs w:val="32"/>
            </w:rPr>
            <w:fldChar w:fldCharType="separate"/>
          </w:r>
          <w:r>
            <w:rPr>
              <w:rFonts w:hint="eastAsia" w:ascii="仿宋" w:hAnsi="仿宋" w:eastAsia="仿宋" w:cs="仿宋"/>
              <w:sz w:val="32"/>
              <w:szCs w:val="32"/>
            </w:rPr>
            <w:t>（一）领导机构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_Toc4777 \h </w:instrText>
          </w:r>
          <w:r>
            <w:rPr>
              <w:rFonts w:hint="eastAsia" w:ascii="仿宋" w:hAnsi="仿宋" w:eastAsia="仿宋" w:cs="仿宋"/>
              <w:sz w:val="32"/>
              <w:szCs w:val="32"/>
            </w:rPr>
            <w:fldChar w:fldCharType="separate"/>
          </w:r>
          <w:r>
            <w:rPr>
              <w:rFonts w:hint="eastAsia" w:ascii="仿宋" w:hAnsi="仿宋" w:eastAsia="仿宋" w:cs="仿宋"/>
              <w:sz w:val="32"/>
              <w:szCs w:val="32"/>
            </w:rPr>
            <w:t>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5FA7343">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_Toc8942 </w:instrText>
          </w:r>
          <w:r>
            <w:rPr>
              <w:rFonts w:hint="eastAsia" w:ascii="仿宋" w:hAnsi="仿宋" w:eastAsia="仿宋" w:cs="仿宋"/>
              <w:sz w:val="32"/>
              <w:szCs w:val="32"/>
            </w:rPr>
            <w:fldChar w:fldCharType="separate"/>
          </w:r>
          <w:r>
            <w:rPr>
              <w:rFonts w:hint="eastAsia" w:ascii="仿宋" w:hAnsi="仿宋" w:eastAsia="仿宋" w:cs="仿宋"/>
              <w:sz w:val="32"/>
              <w:szCs w:val="32"/>
            </w:rPr>
            <w:t>（二）专项指挥机构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_Toc8942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8028A6A">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_Toc28445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eastAsia="zh-CN"/>
            </w:rPr>
            <w:t>（三）办事机构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_Toc28445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8432A59">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_Toc22346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eastAsia="zh-CN"/>
            </w:rPr>
            <w:t>（四）工作机构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_Toc22346 \h </w:instrText>
          </w:r>
          <w:r>
            <w:rPr>
              <w:rFonts w:hint="eastAsia" w:ascii="仿宋" w:hAnsi="仿宋" w:eastAsia="仿宋" w:cs="仿宋"/>
              <w:sz w:val="32"/>
              <w:szCs w:val="32"/>
            </w:rPr>
            <w:fldChar w:fldCharType="separate"/>
          </w:r>
          <w:r>
            <w:rPr>
              <w:rFonts w:hint="eastAsia" w:ascii="仿宋" w:hAnsi="仿宋" w:eastAsia="仿宋" w:cs="仿宋"/>
              <w:sz w:val="32"/>
              <w:szCs w:val="32"/>
            </w:rPr>
            <w:t>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DAFBE3A">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_Toc11657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eastAsia="zh-CN"/>
            </w:rPr>
            <w:t>（五）专家</w:t>
          </w:r>
          <w:r>
            <w:rPr>
              <w:rFonts w:hint="eastAsia" w:ascii="仿宋" w:hAnsi="仿宋" w:eastAsia="仿宋" w:cs="仿宋"/>
              <w:sz w:val="32"/>
              <w:szCs w:val="32"/>
              <w:lang w:val="en-US" w:eastAsia="zh-CN"/>
            </w:rPr>
            <w:t>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_Toc11657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CA0527A">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_Toc24487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eastAsia="zh-CN"/>
            </w:rPr>
            <w:t>（六）区政府有关部门、突发事件所在街道办事处、村屯应急组织机构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_Toc24487 \h </w:instrText>
          </w:r>
          <w:r>
            <w:rPr>
              <w:rFonts w:hint="eastAsia" w:ascii="仿宋" w:hAnsi="仿宋" w:eastAsia="仿宋" w:cs="仿宋"/>
              <w:sz w:val="32"/>
              <w:szCs w:val="32"/>
            </w:rPr>
            <w:fldChar w:fldCharType="separate"/>
          </w:r>
          <w:r>
            <w:rPr>
              <w:rFonts w:hint="eastAsia" w:ascii="仿宋" w:hAnsi="仿宋" w:eastAsia="仿宋" w:cs="仿宋"/>
              <w:sz w:val="32"/>
              <w:szCs w:val="32"/>
            </w:rPr>
            <w:t>10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A6C00D7">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_Toc18216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eastAsia="zh-CN"/>
            </w:rPr>
            <w:t>（七）企事业单位应急组织机构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_Toc18216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DAEF7B4">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_Toc453 </w:instrText>
          </w:r>
          <w:r>
            <w:rPr>
              <w:rFonts w:hint="eastAsia" w:ascii="仿宋" w:hAnsi="仿宋" w:eastAsia="仿宋" w:cs="仿宋"/>
              <w:sz w:val="32"/>
              <w:szCs w:val="32"/>
            </w:rPr>
            <w:fldChar w:fldCharType="separate"/>
          </w:r>
          <w:r>
            <w:rPr>
              <w:rFonts w:hint="eastAsia" w:ascii="仿宋" w:hAnsi="仿宋" w:eastAsia="仿宋" w:cs="仿宋"/>
              <w:sz w:val="32"/>
              <w:szCs w:val="32"/>
              <w:lang w:val="zh-CN" w:eastAsia="zh-CN"/>
            </w:rPr>
            <w:t>（八）社会组织和公众</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_Toc453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36F4C8E">
          <w:pPr>
            <w:pStyle w:val="9"/>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_Toc32385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lang w:val="zh-CN" w:eastAsia="zh-CN"/>
            </w:rPr>
            <w:t>三、</w:t>
          </w:r>
          <w:r>
            <w:rPr>
              <w:rFonts w:hint="eastAsia" w:ascii="仿宋" w:hAnsi="仿宋" w:eastAsia="仿宋" w:cs="仿宋"/>
              <w:bCs w:val="0"/>
              <w:spacing w:val="0"/>
              <w:w w:val="100"/>
              <w:sz w:val="32"/>
              <w:szCs w:val="32"/>
              <w:lang w:val="en-US" w:eastAsia="zh-CN"/>
            </w:rPr>
            <w:t>风险</w:t>
          </w:r>
          <w:r>
            <w:rPr>
              <w:rFonts w:hint="eastAsia" w:ascii="仿宋" w:hAnsi="仿宋" w:eastAsia="仿宋" w:cs="仿宋"/>
              <w:bCs w:val="0"/>
              <w:spacing w:val="0"/>
              <w:w w:val="100"/>
              <w:sz w:val="32"/>
              <w:szCs w:val="32"/>
              <w:lang w:val="en-US"/>
            </w:rPr>
            <w:t>管控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_Toc32385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DE9C65B">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_Toc17092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（一）风险识别与评估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_Toc17092 \h </w:instrText>
          </w:r>
          <w:r>
            <w:rPr>
              <w:rFonts w:hint="eastAsia" w:ascii="仿宋" w:hAnsi="仿宋" w:eastAsia="仿宋" w:cs="仿宋"/>
              <w:sz w:val="32"/>
              <w:szCs w:val="32"/>
            </w:rPr>
            <w:fldChar w:fldCharType="separate"/>
          </w:r>
          <w:r>
            <w:rPr>
              <w:rFonts w:hint="eastAsia" w:ascii="仿宋" w:hAnsi="仿宋" w:eastAsia="仿宋" w:cs="仿宋"/>
              <w:sz w:val="32"/>
              <w:szCs w:val="32"/>
            </w:rPr>
            <w:t>11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590C4EE">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_Toc17920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（二）风险控制与治理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_Toc17920 \h </w:instrText>
          </w:r>
          <w:r>
            <w:rPr>
              <w:rFonts w:hint="eastAsia" w:ascii="仿宋" w:hAnsi="仿宋" w:eastAsia="仿宋" w:cs="仿宋"/>
              <w:sz w:val="32"/>
              <w:szCs w:val="32"/>
            </w:rPr>
            <w:fldChar w:fldCharType="separate"/>
          </w:r>
          <w:r>
            <w:rPr>
              <w:rFonts w:hint="eastAsia" w:ascii="仿宋" w:hAnsi="仿宋" w:eastAsia="仿宋" w:cs="仿宋"/>
              <w:sz w:val="32"/>
              <w:szCs w:val="32"/>
            </w:rPr>
            <w:t>12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403346F">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_Toc3567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（三）监控与更新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_Toc3567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19039F">
          <w:pPr>
            <w:pStyle w:val="9"/>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_Toc15404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lang w:val="en-US"/>
            </w:rPr>
            <w:t>四</w:t>
          </w:r>
          <w:r>
            <w:rPr>
              <w:rFonts w:hint="eastAsia" w:ascii="仿宋" w:hAnsi="仿宋" w:eastAsia="仿宋" w:cs="仿宋"/>
              <w:bCs w:val="0"/>
              <w:spacing w:val="0"/>
              <w:w w:val="100"/>
              <w:sz w:val="32"/>
              <w:szCs w:val="32"/>
            </w:rPr>
            <w:t>、</w:t>
          </w:r>
          <w:r>
            <w:rPr>
              <w:rFonts w:hint="eastAsia" w:ascii="仿宋" w:hAnsi="仿宋" w:eastAsia="仿宋" w:cs="仿宋"/>
              <w:bCs w:val="0"/>
              <w:spacing w:val="0"/>
              <w:w w:val="100"/>
              <w:sz w:val="32"/>
              <w:szCs w:val="32"/>
              <w:lang w:val="en-US"/>
            </w:rPr>
            <w:t>监测预警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_Toc15404 \h </w:instrText>
          </w:r>
          <w:r>
            <w:rPr>
              <w:rFonts w:hint="eastAsia" w:ascii="仿宋" w:hAnsi="仿宋" w:eastAsia="仿宋" w:cs="仿宋"/>
              <w:sz w:val="32"/>
              <w:szCs w:val="32"/>
            </w:rPr>
            <w:fldChar w:fldCharType="separate"/>
          </w:r>
          <w:r>
            <w:rPr>
              <w:rFonts w:hint="eastAsia" w:ascii="仿宋" w:hAnsi="仿宋" w:eastAsia="仿宋" w:cs="仿宋"/>
              <w:sz w:val="32"/>
              <w:szCs w:val="32"/>
            </w:rPr>
            <w:t>13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67B45C4">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_Toc28295 </w:instrText>
          </w:r>
          <w:r>
            <w:rPr>
              <w:rFonts w:hint="eastAsia" w:ascii="仿宋" w:hAnsi="仿宋" w:eastAsia="仿宋" w:cs="仿宋"/>
              <w:sz w:val="32"/>
              <w:szCs w:val="32"/>
            </w:rPr>
            <w:fldChar w:fldCharType="separate"/>
          </w:r>
          <w:r>
            <w:rPr>
              <w:rFonts w:hint="eastAsia" w:ascii="仿宋" w:hAnsi="仿宋" w:eastAsia="仿宋" w:cs="仿宋"/>
              <w:sz w:val="32"/>
              <w:szCs w:val="32"/>
            </w:rPr>
            <w:t>（一）预防</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_Toc28295 \h </w:instrText>
          </w:r>
          <w:r>
            <w:rPr>
              <w:rFonts w:hint="eastAsia" w:ascii="仿宋" w:hAnsi="仿宋" w:eastAsia="仿宋" w:cs="仿宋"/>
              <w:sz w:val="32"/>
              <w:szCs w:val="32"/>
            </w:rPr>
            <w:fldChar w:fldCharType="separate"/>
          </w:r>
          <w:r>
            <w:rPr>
              <w:rFonts w:hint="eastAsia" w:ascii="仿宋" w:hAnsi="仿宋" w:eastAsia="仿宋" w:cs="仿宋"/>
              <w:sz w:val="32"/>
              <w:szCs w:val="32"/>
            </w:rPr>
            <w:t>14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6B304A">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_Toc29361 </w:instrText>
          </w:r>
          <w:r>
            <w:rPr>
              <w:rFonts w:hint="eastAsia" w:ascii="仿宋" w:hAnsi="仿宋" w:eastAsia="仿宋" w:cs="仿宋"/>
              <w:sz w:val="32"/>
              <w:szCs w:val="32"/>
            </w:rPr>
            <w:fldChar w:fldCharType="separate"/>
          </w:r>
          <w:r>
            <w:rPr>
              <w:rFonts w:hint="eastAsia" w:ascii="仿宋" w:hAnsi="仿宋" w:eastAsia="仿宋" w:cs="仿宋"/>
              <w:sz w:val="32"/>
              <w:szCs w:val="32"/>
            </w:rPr>
            <w:t>（二）监测</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_Toc29361 \h </w:instrText>
          </w:r>
          <w:r>
            <w:rPr>
              <w:rFonts w:hint="eastAsia" w:ascii="仿宋" w:hAnsi="仿宋" w:eastAsia="仿宋" w:cs="仿宋"/>
              <w:sz w:val="32"/>
              <w:szCs w:val="32"/>
            </w:rPr>
            <w:fldChar w:fldCharType="separate"/>
          </w:r>
          <w:r>
            <w:rPr>
              <w:rFonts w:hint="eastAsia" w:ascii="仿宋" w:hAnsi="仿宋" w:eastAsia="仿宋" w:cs="仿宋"/>
              <w:sz w:val="32"/>
              <w:szCs w:val="32"/>
            </w:rPr>
            <w:t>15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7697850">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_Toc23860 </w:instrText>
          </w:r>
          <w:r>
            <w:rPr>
              <w:rFonts w:hint="eastAsia" w:ascii="仿宋" w:hAnsi="仿宋" w:eastAsia="仿宋" w:cs="仿宋"/>
              <w:sz w:val="32"/>
              <w:szCs w:val="32"/>
            </w:rPr>
            <w:fldChar w:fldCharType="separate"/>
          </w:r>
          <w:r>
            <w:rPr>
              <w:rFonts w:hint="eastAsia" w:ascii="仿宋" w:hAnsi="仿宋" w:eastAsia="仿宋" w:cs="仿宋"/>
              <w:sz w:val="32"/>
              <w:szCs w:val="32"/>
            </w:rPr>
            <w:t>（三）预警</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_Toc23860 \h </w:instrText>
          </w:r>
          <w:r>
            <w:rPr>
              <w:rFonts w:hint="eastAsia" w:ascii="仿宋" w:hAnsi="仿宋" w:eastAsia="仿宋" w:cs="仿宋"/>
              <w:sz w:val="32"/>
              <w:szCs w:val="32"/>
            </w:rPr>
            <w:fldChar w:fldCharType="separate"/>
          </w:r>
          <w:r>
            <w:rPr>
              <w:rFonts w:hint="eastAsia" w:ascii="仿宋" w:hAnsi="仿宋" w:eastAsia="仿宋" w:cs="仿宋"/>
              <w:sz w:val="32"/>
              <w:szCs w:val="32"/>
            </w:rPr>
            <w:t>16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04CC634">
          <w:pPr>
            <w:pStyle w:val="9"/>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_Toc7833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lang w:val="en-US"/>
            </w:rPr>
            <w:t>五</w:t>
          </w:r>
          <w:r>
            <w:rPr>
              <w:rFonts w:hint="eastAsia" w:ascii="仿宋" w:hAnsi="仿宋" w:eastAsia="仿宋" w:cs="仿宋"/>
              <w:bCs w:val="0"/>
              <w:spacing w:val="0"/>
              <w:w w:val="100"/>
              <w:sz w:val="32"/>
              <w:szCs w:val="32"/>
            </w:rPr>
            <w:t>、</w:t>
          </w:r>
          <w:r>
            <w:rPr>
              <w:rFonts w:hint="eastAsia" w:ascii="仿宋" w:hAnsi="仿宋" w:eastAsia="仿宋" w:cs="仿宋"/>
              <w:bCs w:val="0"/>
              <w:spacing w:val="0"/>
              <w:w w:val="100"/>
              <w:sz w:val="32"/>
              <w:szCs w:val="32"/>
              <w:lang w:val="en-US"/>
            </w:rPr>
            <w:t>处置救援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_Toc7833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9C0A953">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_Toc26064 </w:instrText>
          </w:r>
          <w:r>
            <w:rPr>
              <w:rFonts w:hint="eastAsia" w:ascii="仿宋" w:hAnsi="仿宋" w:eastAsia="仿宋" w:cs="仿宋"/>
              <w:sz w:val="32"/>
              <w:szCs w:val="32"/>
            </w:rPr>
            <w:fldChar w:fldCharType="separate"/>
          </w:r>
          <w:r>
            <w:rPr>
              <w:rFonts w:hint="eastAsia" w:ascii="仿宋" w:hAnsi="仿宋" w:eastAsia="仿宋" w:cs="仿宋"/>
              <w:sz w:val="32"/>
              <w:szCs w:val="32"/>
            </w:rPr>
            <w:t>（一）信息报送、发布与通报</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_Toc26064 \h </w:instrText>
          </w:r>
          <w:r>
            <w:rPr>
              <w:rFonts w:hint="eastAsia" w:ascii="仿宋" w:hAnsi="仿宋" w:eastAsia="仿宋" w:cs="仿宋"/>
              <w:sz w:val="32"/>
              <w:szCs w:val="32"/>
            </w:rPr>
            <w:fldChar w:fldCharType="separate"/>
          </w:r>
          <w:r>
            <w:rPr>
              <w:rFonts w:hint="eastAsia" w:ascii="仿宋" w:hAnsi="仿宋" w:eastAsia="仿宋" w:cs="仿宋"/>
              <w:sz w:val="32"/>
              <w:szCs w:val="32"/>
            </w:rPr>
            <w:t>18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7E648D3">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_Toc870 </w:instrText>
          </w:r>
          <w:r>
            <w:rPr>
              <w:rFonts w:hint="eastAsia" w:ascii="仿宋" w:hAnsi="仿宋" w:eastAsia="仿宋" w:cs="仿宋"/>
              <w:sz w:val="32"/>
              <w:szCs w:val="32"/>
            </w:rPr>
            <w:fldChar w:fldCharType="separate"/>
          </w:r>
          <w:r>
            <w:rPr>
              <w:rFonts w:hint="eastAsia" w:ascii="仿宋" w:hAnsi="仿宋" w:eastAsia="仿宋" w:cs="仿宋"/>
              <w:sz w:val="32"/>
              <w:szCs w:val="32"/>
            </w:rPr>
            <w:t>（二）先期处置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_Toc870 \h </w:instrText>
          </w:r>
          <w:r>
            <w:rPr>
              <w:rFonts w:hint="eastAsia" w:ascii="仿宋" w:hAnsi="仿宋" w:eastAsia="仿宋" w:cs="仿宋"/>
              <w:sz w:val="32"/>
              <w:szCs w:val="32"/>
            </w:rPr>
            <w:fldChar w:fldCharType="separate"/>
          </w:r>
          <w:r>
            <w:rPr>
              <w:rFonts w:hint="eastAsia" w:ascii="仿宋" w:hAnsi="仿宋" w:eastAsia="仿宋" w:cs="仿宋"/>
              <w:sz w:val="32"/>
              <w:szCs w:val="32"/>
            </w:rPr>
            <w:t>20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A1B9D19">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_Toc20640 </w:instrText>
          </w:r>
          <w:r>
            <w:rPr>
              <w:rFonts w:hint="eastAsia" w:ascii="仿宋" w:hAnsi="仿宋" w:eastAsia="仿宋" w:cs="仿宋"/>
              <w:sz w:val="32"/>
              <w:szCs w:val="32"/>
            </w:rPr>
            <w:fldChar w:fldCharType="separate"/>
          </w:r>
          <w:r>
            <w:rPr>
              <w:rFonts w:hint="eastAsia" w:ascii="仿宋" w:hAnsi="仿宋" w:eastAsia="仿宋" w:cs="仿宋"/>
              <w:sz w:val="32"/>
              <w:szCs w:val="32"/>
            </w:rPr>
            <w:t>（三）指挥和协调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_Toc20640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7D57908">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_Toc14320 </w:instrText>
          </w:r>
          <w:r>
            <w:rPr>
              <w:rFonts w:hint="eastAsia" w:ascii="仿宋" w:hAnsi="仿宋" w:eastAsia="仿宋" w:cs="仿宋"/>
              <w:sz w:val="32"/>
              <w:szCs w:val="32"/>
            </w:rPr>
            <w:fldChar w:fldCharType="separate"/>
          </w:r>
          <w:r>
            <w:rPr>
              <w:rFonts w:hint="eastAsia" w:ascii="仿宋" w:hAnsi="仿宋" w:eastAsia="仿宋" w:cs="仿宋"/>
              <w:sz w:val="32"/>
              <w:szCs w:val="32"/>
            </w:rPr>
            <w:t>（四）响应分级</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_Toc14320 \h </w:instrText>
          </w:r>
          <w:r>
            <w:rPr>
              <w:rFonts w:hint="eastAsia" w:ascii="仿宋" w:hAnsi="仿宋" w:eastAsia="仿宋" w:cs="仿宋"/>
              <w:sz w:val="32"/>
              <w:szCs w:val="32"/>
            </w:rPr>
            <w:fldChar w:fldCharType="separate"/>
          </w:r>
          <w:r>
            <w:rPr>
              <w:rFonts w:hint="eastAsia" w:ascii="仿宋" w:hAnsi="仿宋" w:eastAsia="仿宋" w:cs="仿宋"/>
              <w:sz w:val="32"/>
              <w:szCs w:val="32"/>
            </w:rPr>
            <w:t>21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6CB0BE9">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_Toc4662 </w:instrText>
          </w:r>
          <w:r>
            <w:rPr>
              <w:rFonts w:hint="eastAsia" w:ascii="仿宋" w:hAnsi="仿宋" w:eastAsia="仿宋" w:cs="仿宋"/>
              <w:sz w:val="32"/>
              <w:szCs w:val="32"/>
            </w:rPr>
            <w:fldChar w:fldCharType="separate"/>
          </w:r>
          <w:r>
            <w:rPr>
              <w:rFonts w:hint="eastAsia" w:ascii="仿宋" w:hAnsi="仿宋" w:eastAsia="仿宋" w:cs="仿宋"/>
              <w:sz w:val="32"/>
              <w:szCs w:val="32"/>
            </w:rPr>
            <w:t>（五）处置措施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_Toc4662 \h </w:instrText>
          </w:r>
          <w:r>
            <w:rPr>
              <w:rFonts w:hint="eastAsia" w:ascii="仿宋" w:hAnsi="仿宋" w:eastAsia="仿宋" w:cs="仿宋"/>
              <w:sz w:val="32"/>
              <w:szCs w:val="32"/>
            </w:rPr>
            <w:fldChar w:fldCharType="separate"/>
          </w:r>
          <w:r>
            <w:rPr>
              <w:rFonts w:hint="eastAsia" w:ascii="仿宋" w:hAnsi="仿宋" w:eastAsia="仿宋" w:cs="仿宋"/>
              <w:sz w:val="32"/>
              <w:szCs w:val="32"/>
            </w:rPr>
            <w:t>22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42A773C0">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_Toc6959 </w:instrText>
          </w:r>
          <w:r>
            <w:rPr>
              <w:rFonts w:hint="eastAsia" w:ascii="仿宋" w:hAnsi="仿宋" w:eastAsia="仿宋" w:cs="仿宋"/>
              <w:sz w:val="32"/>
              <w:szCs w:val="32"/>
            </w:rPr>
            <w:fldChar w:fldCharType="separate"/>
          </w:r>
          <w:r>
            <w:rPr>
              <w:rFonts w:hint="eastAsia" w:ascii="仿宋" w:hAnsi="仿宋" w:eastAsia="仿宋" w:cs="仿宋"/>
              <w:sz w:val="32"/>
              <w:szCs w:val="32"/>
            </w:rPr>
            <w:t>（六）响应终止</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_Toc6959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517A5BA">
          <w:pPr>
            <w:pStyle w:val="9"/>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_Toc8087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lang w:val="en-US"/>
            </w:rPr>
            <w:t>六</w:t>
          </w:r>
          <w:r>
            <w:rPr>
              <w:rFonts w:hint="eastAsia" w:ascii="仿宋" w:hAnsi="仿宋" w:eastAsia="仿宋" w:cs="仿宋"/>
              <w:bCs w:val="0"/>
              <w:spacing w:val="0"/>
              <w:w w:val="100"/>
              <w:sz w:val="32"/>
              <w:szCs w:val="32"/>
            </w:rPr>
            <w:t>、应急保障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_Toc8087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FF30685">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_Toc16473 </w:instrText>
          </w:r>
          <w:r>
            <w:rPr>
              <w:rFonts w:hint="eastAsia" w:ascii="仿宋" w:hAnsi="仿宋" w:eastAsia="仿宋" w:cs="仿宋"/>
              <w:sz w:val="32"/>
              <w:szCs w:val="32"/>
            </w:rPr>
            <w:fldChar w:fldCharType="separate"/>
          </w:r>
          <w:r>
            <w:rPr>
              <w:rFonts w:hint="eastAsia" w:ascii="仿宋" w:hAnsi="仿宋" w:eastAsia="仿宋" w:cs="仿宋"/>
              <w:sz w:val="32"/>
              <w:szCs w:val="32"/>
            </w:rPr>
            <w:t>（一）通讯信息保障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_Toc16473 \h </w:instrText>
          </w:r>
          <w:r>
            <w:rPr>
              <w:rFonts w:hint="eastAsia" w:ascii="仿宋" w:hAnsi="仿宋" w:eastAsia="仿宋" w:cs="仿宋"/>
              <w:sz w:val="32"/>
              <w:szCs w:val="32"/>
            </w:rPr>
            <w:fldChar w:fldCharType="separate"/>
          </w:r>
          <w:r>
            <w:rPr>
              <w:rFonts w:hint="eastAsia" w:ascii="仿宋" w:hAnsi="仿宋" w:eastAsia="仿宋" w:cs="仿宋"/>
              <w:sz w:val="32"/>
              <w:szCs w:val="32"/>
            </w:rPr>
            <w:t>25</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7C5EA23">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_Toc28758 </w:instrText>
          </w:r>
          <w:r>
            <w:rPr>
              <w:rFonts w:hint="eastAsia" w:ascii="仿宋" w:hAnsi="仿宋" w:eastAsia="仿宋" w:cs="仿宋"/>
              <w:sz w:val="32"/>
              <w:szCs w:val="32"/>
            </w:rPr>
            <w:fldChar w:fldCharType="separate"/>
          </w:r>
          <w:r>
            <w:rPr>
              <w:rFonts w:hint="eastAsia" w:ascii="仿宋" w:hAnsi="仿宋" w:eastAsia="仿宋" w:cs="仿宋"/>
              <w:sz w:val="32"/>
              <w:szCs w:val="32"/>
            </w:rPr>
            <w:t>（</w:t>
          </w:r>
          <w:r>
            <w:rPr>
              <w:rFonts w:hint="eastAsia" w:ascii="仿宋" w:hAnsi="仿宋" w:eastAsia="仿宋" w:cs="仿宋"/>
              <w:sz w:val="32"/>
              <w:szCs w:val="32"/>
              <w:lang w:val="en-US"/>
            </w:rPr>
            <w:t>二</w:t>
          </w:r>
          <w:r>
            <w:rPr>
              <w:rFonts w:hint="eastAsia" w:ascii="仿宋" w:hAnsi="仿宋" w:eastAsia="仿宋" w:cs="仿宋"/>
              <w:sz w:val="32"/>
              <w:szCs w:val="32"/>
            </w:rPr>
            <w:t>）应急队伍保障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_Toc28758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5CF0A67">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_Toc5377 </w:instrText>
          </w:r>
          <w:r>
            <w:rPr>
              <w:rFonts w:hint="eastAsia" w:ascii="仿宋" w:hAnsi="仿宋" w:eastAsia="仿宋" w:cs="仿宋"/>
              <w:sz w:val="32"/>
              <w:szCs w:val="32"/>
            </w:rPr>
            <w:fldChar w:fldCharType="separate"/>
          </w:r>
          <w:r>
            <w:rPr>
              <w:rFonts w:hint="eastAsia" w:ascii="仿宋" w:hAnsi="仿宋" w:eastAsia="仿宋" w:cs="仿宋"/>
              <w:sz w:val="32"/>
              <w:szCs w:val="32"/>
            </w:rPr>
            <w:t>（三）交通运输保障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_Toc5377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1CAD557">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_Toc1734 </w:instrText>
          </w:r>
          <w:r>
            <w:rPr>
              <w:rFonts w:hint="eastAsia" w:ascii="仿宋" w:hAnsi="仿宋" w:eastAsia="仿宋" w:cs="仿宋"/>
              <w:sz w:val="32"/>
              <w:szCs w:val="32"/>
            </w:rPr>
            <w:fldChar w:fldCharType="separate"/>
          </w:r>
          <w:r>
            <w:rPr>
              <w:rFonts w:hint="eastAsia" w:ascii="仿宋" w:hAnsi="仿宋" w:eastAsia="仿宋" w:cs="仿宋"/>
              <w:sz w:val="32"/>
              <w:szCs w:val="32"/>
            </w:rPr>
            <w:t>（四）医疗卫生保障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_Toc1734 \h </w:instrText>
          </w:r>
          <w:r>
            <w:rPr>
              <w:rFonts w:hint="eastAsia" w:ascii="仿宋" w:hAnsi="仿宋" w:eastAsia="仿宋" w:cs="仿宋"/>
              <w:sz w:val="32"/>
              <w:szCs w:val="32"/>
            </w:rPr>
            <w:fldChar w:fldCharType="separate"/>
          </w:r>
          <w:r>
            <w:rPr>
              <w:rFonts w:hint="eastAsia" w:ascii="仿宋" w:hAnsi="仿宋" w:eastAsia="仿宋" w:cs="仿宋"/>
              <w:sz w:val="32"/>
              <w:szCs w:val="32"/>
            </w:rPr>
            <w:t>26</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0AF9968">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_Toc22809 </w:instrText>
          </w:r>
          <w:r>
            <w:rPr>
              <w:rFonts w:hint="eastAsia" w:ascii="仿宋" w:hAnsi="仿宋" w:eastAsia="仿宋" w:cs="仿宋"/>
              <w:sz w:val="32"/>
              <w:szCs w:val="32"/>
            </w:rPr>
            <w:fldChar w:fldCharType="separate"/>
          </w:r>
          <w:r>
            <w:rPr>
              <w:rFonts w:hint="eastAsia" w:ascii="仿宋" w:hAnsi="仿宋" w:eastAsia="仿宋" w:cs="仿宋"/>
              <w:sz w:val="32"/>
              <w:szCs w:val="32"/>
            </w:rPr>
            <w:t>（五）应急物资保障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_Toc22809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06E4BD5">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_Toc22123 </w:instrText>
          </w:r>
          <w:r>
            <w:rPr>
              <w:rFonts w:hint="eastAsia" w:ascii="仿宋" w:hAnsi="仿宋" w:eastAsia="仿宋" w:cs="仿宋"/>
              <w:sz w:val="32"/>
              <w:szCs w:val="32"/>
            </w:rPr>
            <w:fldChar w:fldCharType="separate"/>
          </w:r>
          <w:r>
            <w:rPr>
              <w:rFonts w:hint="eastAsia" w:ascii="仿宋" w:hAnsi="仿宋" w:eastAsia="仿宋" w:cs="仿宋"/>
              <w:sz w:val="32"/>
              <w:szCs w:val="32"/>
            </w:rPr>
            <w:t>（六）资金保障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_Toc22123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7B1A91B">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_Toc32767 </w:instrText>
          </w:r>
          <w:r>
            <w:rPr>
              <w:rFonts w:hint="eastAsia" w:ascii="仿宋" w:hAnsi="仿宋" w:eastAsia="仿宋" w:cs="仿宋"/>
              <w:sz w:val="32"/>
              <w:szCs w:val="32"/>
            </w:rPr>
            <w:fldChar w:fldCharType="separate"/>
          </w:r>
          <w:r>
            <w:rPr>
              <w:rFonts w:hint="eastAsia" w:ascii="仿宋" w:hAnsi="仿宋" w:eastAsia="仿宋" w:cs="仿宋"/>
              <w:sz w:val="32"/>
              <w:szCs w:val="32"/>
            </w:rPr>
            <w:t>（七）人员个体防护</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_Toc32767 \h </w:instrText>
          </w:r>
          <w:r>
            <w:rPr>
              <w:rFonts w:hint="eastAsia" w:ascii="仿宋" w:hAnsi="仿宋" w:eastAsia="仿宋" w:cs="仿宋"/>
              <w:sz w:val="32"/>
              <w:szCs w:val="32"/>
            </w:rPr>
            <w:fldChar w:fldCharType="separate"/>
          </w:r>
          <w:r>
            <w:rPr>
              <w:rFonts w:hint="eastAsia" w:ascii="仿宋" w:hAnsi="仿宋" w:eastAsia="仿宋" w:cs="仿宋"/>
              <w:sz w:val="32"/>
              <w:szCs w:val="32"/>
            </w:rPr>
            <w:t>27</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1D644BA">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_Toc25433 </w:instrText>
          </w:r>
          <w:r>
            <w:rPr>
              <w:rFonts w:hint="eastAsia" w:ascii="仿宋" w:hAnsi="仿宋" w:eastAsia="仿宋" w:cs="仿宋"/>
              <w:sz w:val="32"/>
              <w:szCs w:val="32"/>
            </w:rPr>
            <w:fldChar w:fldCharType="separate"/>
          </w:r>
          <w:r>
            <w:rPr>
              <w:rFonts w:hint="eastAsia" w:ascii="仿宋" w:hAnsi="仿宋" w:eastAsia="仿宋" w:cs="仿宋"/>
              <w:sz w:val="32"/>
              <w:szCs w:val="32"/>
            </w:rPr>
            <w:t>（八）技术保障</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_Toc25433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21FAE6F">
          <w:pPr>
            <w:pStyle w:val="9"/>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_Toc2814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lang w:val="en-US"/>
            </w:rPr>
            <w:t>七</w:t>
          </w:r>
          <w:r>
            <w:rPr>
              <w:rFonts w:hint="eastAsia" w:ascii="仿宋" w:hAnsi="仿宋" w:eastAsia="仿宋" w:cs="仿宋"/>
              <w:bCs w:val="0"/>
              <w:spacing w:val="0"/>
              <w:w w:val="100"/>
              <w:sz w:val="32"/>
              <w:szCs w:val="32"/>
            </w:rPr>
            <w:t>、</w:t>
          </w:r>
          <w:r>
            <w:rPr>
              <w:rFonts w:hint="eastAsia" w:ascii="仿宋" w:hAnsi="仿宋" w:eastAsia="仿宋" w:cs="仿宋"/>
              <w:bCs w:val="0"/>
              <w:spacing w:val="0"/>
              <w:w w:val="100"/>
              <w:sz w:val="32"/>
              <w:szCs w:val="32"/>
              <w:lang w:val="en-US"/>
            </w:rPr>
            <w:t>恢复重建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_Toc2814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504C3D9D">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_Toc2336 </w:instrText>
          </w:r>
          <w:r>
            <w:rPr>
              <w:rFonts w:hint="eastAsia" w:ascii="仿宋" w:hAnsi="仿宋" w:eastAsia="仿宋" w:cs="仿宋"/>
              <w:sz w:val="32"/>
              <w:szCs w:val="32"/>
            </w:rPr>
            <w:fldChar w:fldCharType="separate"/>
          </w:r>
          <w:r>
            <w:rPr>
              <w:rFonts w:hint="eastAsia" w:ascii="仿宋" w:hAnsi="仿宋" w:eastAsia="仿宋" w:cs="仿宋"/>
              <w:sz w:val="32"/>
              <w:szCs w:val="32"/>
            </w:rPr>
            <w:t>（一）善后处置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_Toc2336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68237E6">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_Toc12535 </w:instrText>
          </w:r>
          <w:r>
            <w:rPr>
              <w:rFonts w:hint="eastAsia" w:ascii="仿宋" w:hAnsi="仿宋" w:eastAsia="仿宋" w:cs="仿宋"/>
              <w:sz w:val="32"/>
              <w:szCs w:val="32"/>
            </w:rPr>
            <w:fldChar w:fldCharType="separate"/>
          </w:r>
          <w:r>
            <w:rPr>
              <w:rFonts w:hint="eastAsia" w:ascii="仿宋" w:hAnsi="仿宋" w:eastAsia="仿宋" w:cs="仿宋"/>
              <w:sz w:val="32"/>
              <w:szCs w:val="32"/>
            </w:rPr>
            <w:t>（二）社会救助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_Toc12535 \h </w:instrText>
          </w:r>
          <w:r>
            <w:rPr>
              <w:rFonts w:hint="eastAsia" w:ascii="仿宋" w:hAnsi="仿宋" w:eastAsia="仿宋" w:cs="仿宋"/>
              <w:sz w:val="32"/>
              <w:szCs w:val="32"/>
            </w:rPr>
            <w:fldChar w:fldCharType="separate"/>
          </w:r>
          <w:r>
            <w:rPr>
              <w:rFonts w:hint="eastAsia" w:ascii="仿宋" w:hAnsi="仿宋" w:eastAsia="仿宋" w:cs="仿宋"/>
              <w:sz w:val="32"/>
              <w:szCs w:val="32"/>
            </w:rPr>
            <w:t>28</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61F81AFB">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_Toc3694 </w:instrText>
          </w:r>
          <w:r>
            <w:rPr>
              <w:rFonts w:hint="eastAsia" w:ascii="仿宋" w:hAnsi="仿宋" w:eastAsia="仿宋" w:cs="仿宋"/>
              <w:sz w:val="32"/>
              <w:szCs w:val="32"/>
            </w:rPr>
            <w:fldChar w:fldCharType="separate"/>
          </w:r>
          <w:r>
            <w:rPr>
              <w:rFonts w:hint="eastAsia" w:ascii="仿宋" w:hAnsi="仿宋" w:eastAsia="仿宋" w:cs="仿宋"/>
              <w:sz w:val="32"/>
              <w:szCs w:val="32"/>
            </w:rPr>
            <w:t>（三）保险赔付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_Toc3694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5370738">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_Toc1022 </w:instrText>
          </w:r>
          <w:r>
            <w:rPr>
              <w:rFonts w:hint="eastAsia" w:ascii="仿宋" w:hAnsi="仿宋" w:eastAsia="仿宋" w:cs="仿宋"/>
              <w:sz w:val="32"/>
              <w:szCs w:val="32"/>
            </w:rPr>
            <w:fldChar w:fldCharType="separate"/>
          </w:r>
          <w:r>
            <w:rPr>
              <w:rFonts w:hint="eastAsia" w:ascii="仿宋" w:hAnsi="仿宋" w:eastAsia="仿宋" w:cs="仿宋"/>
              <w:sz w:val="32"/>
              <w:szCs w:val="32"/>
            </w:rPr>
            <w:t>（四）心理干预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_Toc1022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71C75D0">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_Toc4770 </w:instrText>
          </w:r>
          <w:r>
            <w:rPr>
              <w:rFonts w:hint="eastAsia" w:ascii="仿宋" w:hAnsi="仿宋" w:eastAsia="仿宋" w:cs="仿宋"/>
              <w:sz w:val="32"/>
              <w:szCs w:val="32"/>
            </w:rPr>
            <w:fldChar w:fldCharType="separate"/>
          </w:r>
          <w:r>
            <w:rPr>
              <w:rFonts w:hint="eastAsia" w:ascii="仿宋" w:hAnsi="仿宋" w:eastAsia="仿宋" w:cs="仿宋"/>
              <w:sz w:val="32"/>
              <w:szCs w:val="32"/>
            </w:rPr>
            <w:t>（五）恢复重建</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_Toc4770 \h </w:instrText>
          </w:r>
          <w:r>
            <w:rPr>
              <w:rFonts w:hint="eastAsia" w:ascii="仿宋" w:hAnsi="仿宋" w:eastAsia="仿宋" w:cs="仿宋"/>
              <w:sz w:val="32"/>
              <w:szCs w:val="32"/>
            </w:rPr>
            <w:fldChar w:fldCharType="separate"/>
          </w:r>
          <w:r>
            <w:rPr>
              <w:rFonts w:hint="eastAsia" w:ascii="仿宋" w:hAnsi="仿宋" w:eastAsia="仿宋" w:cs="仿宋"/>
              <w:sz w:val="32"/>
              <w:szCs w:val="32"/>
            </w:rPr>
            <w:t>29</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4DA2679">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_Toc3376 </w:instrText>
          </w:r>
          <w:r>
            <w:rPr>
              <w:rFonts w:hint="eastAsia" w:ascii="仿宋" w:hAnsi="仿宋" w:eastAsia="仿宋" w:cs="仿宋"/>
              <w:sz w:val="32"/>
              <w:szCs w:val="32"/>
            </w:rPr>
            <w:fldChar w:fldCharType="separate"/>
          </w:r>
          <w:r>
            <w:rPr>
              <w:rFonts w:hint="eastAsia" w:ascii="仿宋" w:hAnsi="仿宋" w:eastAsia="仿宋" w:cs="仿宋"/>
              <w:sz w:val="32"/>
              <w:szCs w:val="32"/>
            </w:rPr>
            <w:t>（六）调查评估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_Toc3376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08CF70F1">
          <w:pPr>
            <w:pStyle w:val="9"/>
            <w:tabs>
              <w:tab w:val="right" w:leader="dot" w:pos="909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_Toc3274 </w:instrText>
          </w:r>
          <w:r>
            <w:rPr>
              <w:rFonts w:hint="eastAsia" w:ascii="仿宋" w:hAnsi="仿宋" w:eastAsia="仿宋" w:cs="仿宋"/>
              <w:sz w:val="32"/>
              <w:szCs w:val="32"/>
            </w:rPr>
            <w:fldChar w:fldCharType="separate"/>
          </w:r>
          <w:r>
            <w:rPr>
              <w:rFonts w:hint="eastAsia" w:ascii="仿宋" w:hAnsi="仿宋" w:eastAsia="仿宋" w:cs="仿宋"/>
              <w:bCs w:val="0"/>
              <w:spacing w:val="0"/>
              <w:w w:val="100"/>
              <w:sz w:val="32"/>
              <w:szCs w:val="32"/>
              <w:lang w:val="en-US"/>
            </w:rPr>
            <w:t>八</w:t>
          </w:r>
          <w:r>
            <w:rPr>
              <w:rFonts w:hint="eastAsia" w:ascii="仿宋" w:hAnsi="仿宋" w:eastAsia="仿宋" w:cs="仿宋"/>
              <w:bCs w:val="0"/>
              <w:spacing w:val="0"/>
              <w:w w:val="100"/>
              <w:sz w:val="32"/>
              <w:szCs w:val="32"/>
            </w:rPr>
            <w:t>、</w:t>
          </w:r>
          <w:r>
            <w:rPr>
              <w:rFonts w:hint="eastAsia" w:ascii="仿宋" w:hAnsi="仿宋" w:eastAsia="仿宋" w:cs="仿宋"/>
              <w:bCs w:val="0"/>
              <w:spacing w:val="0"/>
              <w:w w:val="100"/>
              <w:sz w:val="32"/>
              <w:szCs w:val="32"/>
              <w:lang w:val="en-US"/>
            </w:rPr>
            <w:t>预案管理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_Toc3274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FE8FCBA">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_Toc22555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（一）预案编制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_Toc22555 \h </w:instrText>
          </w:r>
          <w:r>
            <w:rPr>
              <w:rFonts w:hint="eastAsia" w:ascii="仿宋" w:hAnsi="仿宋" w:eastAsia="仿宋" w:cs="仿宋"/>
              <w:sz w:val="32"/>
              <w:szCs w:val="32"/>
            </w:rPr>
            <w:fldChar w:fldCharType="separate"/>
          </w:r>
          <w:r>
            <w:rPr>
              <w:rFonts w:hint="eastAsia" w:ascii="仿宋" w:hAnsi="仿宋" w:eastAsia="仿宋" w:cs="仿宋"/>
              <w:sz w:val="32"/>
              <w:szCs w:val="32"/>
            </w:rPr>
            <w:t>30</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3F70F2AC">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_Toc4088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（二）预案演练</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_Toc4088 \h </w:instrText>
          </w:r>
          <w:r>
            <w:rPr>
              <w:rFonts w:hint="eastAsia" w:ascii="仿宋" w:hAnsi="仿宋" w:eastAsia="仿宋" w:cs="仿宋"/>
              <w:sz w:val="32"/>
              <w:szCs w:val="32"/>
            </w:rPr>
            <w:fldChar w:fldCharType="separate"/>
          </w:r>
          <w:r>
            <w:rPr>
              <w:rFonts w:hint="eastAsia" w:ascii="仿宋" w:hAnsi="仿宋" w:eastAsia="仿宋" w:cs="仿宋"/>
              <w:sz w:val="32"/>
              <w:szCs w:val="32"/>
            </w:rPr>
            <w:t>31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74D9D642">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_Toc29283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（三）宣传教育培训</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_Toc29283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46789AA">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_Toc26315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（四）责任与奖惩</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_Toc26315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12D269AE">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\l _Toc18826 </w:instrText>
          </w:r>
          <w:r>
            <w:rPr>
              <w:rFonts w:hint="eastAsia" w:ascii="仿宋" w:hAnsi="仿宋" w:eastAsia="仿宋" w:cs="仿宋"/>
              <w:sz w:val="32"/>
              <w:szCs w:val="32"/>
            </w:rPr>
            <w:fldChar w:fldCharType="separate"/>
          </w:r>
          <w:r>
            <w:rPr>
              <w:rFonts w:hint="eastAsia" w:ascii="仿宋" w:hAnsi="仿宋" w:eastAsia="仿宋" w:cs="仿宋"/>
              <w:sz w:val="32"/>
              <w:szCs w:val="32"/>
              <w:lang w:val="en-US"/>
            </w:rPr>
            <w:t>（五）预案更新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_Toc18826 \h </w:instrText>
          </w:r>
          <w:r>
            <w:rPr>
              <w:rFonts w:hint="eastAsia" w:ascii="仿宋" w:hAnsi="仿宋" w:eastAsia="仿宋" w:cs="仿宋"/>
              <w:sz w:val="32"/>
              <w:szCs w:val="32"/>
            </w:rPr>
            <w:fldChar w:fldCharType="separate"/>
          </w:r>
          <w:r>
            <w:rPr>
              <w:rFonts w:hint="eastAsia" w:ascii="仿宋" w:hAnsi="仿宋" w:eastAsia="仿宋" w:cs="仿宋"/>
              <w:sz w:val="32"/>
              <w:szCs w:val="32"/>
            </w:rPr>
            <w:t>32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14:paraId="2DFECE6A">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_Toc26775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rPr>
            <w:t>（六）生效</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_Toc26775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33</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3EFCE094">
          <w:pPr>
            <w:pStyle w:val="9"/>
            <w:tabs>
              <w:tab w:val="right" w:leader="dot" w:pos="9090"/>
            </w:tabs>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_Toc24583 </w:instrText>
          </w:r>
          <w:r>
            <w:rPr>
              <w:rFonts w:hint="eastAsia" w:ascii="仿宋" w:hAnsi="仿宋" w:eastAsia="仿宋" w:cs="仿宋"/>
              <w:sz w:val="32"/>
              <w:szCs w:val="32"/>
              <w:highlight w:val="none"/>
            </w:rPr>
            <w:fldChar w:fldCharType="separate"/>
          </w:r>
          <w:r>
            <w:rPr>
              <w:rFonts w:hint="eastAsia" w:ascii="仿宋" w:hAnsi="仿宋" w:eastAsia="仿宋" w:cs="仿宋"/>
              <w:spacing w:val="0"/>
              <w:sz w:val="32"/>
              <w:szCs w:val="32"/>
              <w:highlight w:val="none"/>
              <w:lang w:eastAsia="zh-CN"/>
            </w:rPr>
            <w:t>九、附件</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_Toc24583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33</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02FAF60E">
          <w:pPr>
            <w:pStyle w:val="10"/>
            <w:keepNext w:val="0"/>
            <w:keepLines w:val="0"/>
            <w:pageBreakBefore w:val="0"/>
            <w:widowControl w:val="0"/>
            <w:tabs>
              <w:tab w:val="right" w:leader="dot" w:pos="9090"/>
            </w:tabs>
            <w:kinsoku/>
            <w:wordWrap/>
            <w:overflowPunct/>
            <w:topLinePunct w:val="0"/>
            <w:autoSpaceDE w:val="0"/>
            <w:autoSpaceDN w:val="0"/>
            <w:bidi w:val="0"/>
            <w:adjustRightInd w:val="0"/>
            <w:snapToGrid w:val="0"/>
            <w:spacing w:line="560" w:lineRule="exact"/>
            <w:ind w:left="0" w:lef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_Toc15518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lang w:val="en-US" w:eastAsia="zh-CN"/>
            </w:rPr>
            <w:t>附件 风险分级管控及评价方法</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PAGEREF _Toc15518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34</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fldChar w:fldCharType="end"/>
          </w:r>
        </w:p>
        <w:p w14:paraId="122AE5DB">
          <w:pPr>
            <w:rPr>
              <w:rFonts w:ascii="Times New Roman" w:hAnsi="Times New Roman" w:cs="Times New Roman"/>
              <w:sz w:val="28"/>
              <w:szCs w:val="28"/>
            </w:rPr>
            <w:sectPr>
              <w:footerReference r:id="rId4" w:type="default"/>
              <w:pgSz w:w="11910" w:h="16840"/>
              <w:pgMar w:top="1540" w:right="1340" w:bottom="1320" w:left="1480" w:header="0" w:footer="1135" w:gutter="0"/>
              <w:pgNumType w:fmt="decimal" w:start="1"/>
              <w:cols w:space="720" w:num="1"/>
            </w:sectPr>
          </w:pPr>
          <w:r>
            <w:rPr>
              <w:rFonts w:hint="eastAsia" w:ascii="仿宋" w:hAnsi="仿宋" w:eastAsia="仿宋" w:cs="仿宋"/>
              <w:szCs w:val="32"/>
            </w:rPr>
            <w:fldChar w:fldCharType="end"/>
          </w:r>
        </w:p>
      </w:sdtContent>
    </w:sdt>
    <w:p w14:paraId="12C0AB8C">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黑体" w:hAnsi="黑体" w:eastAsia="黑体" w:cs="黑体"/>
          <w:b w:val="0"/>
          <w:bCs w:val="0"/>
          <w:spacing w:val="0"/>
          <w:w w:val="100"/>
          <w:sz w:val="32"/>
        </w:rPr>
      </w:pPr>
      <w:bookmarkStart w:id="0" w:name="_Toc24074"/>
      <w:r>
        <w:rPr>
          <w:rFonts w:hint="eastAsia" w:ascii="黑体" w:hAnsi="黑体" w:eastAsia="黑体" w:cs="黑体"/>
          <w:b w:val="0"/>
          <w:bCs w:val="0"/>
          <w:spacing w:val="0"/>
          <w:w w:val="100"/>
          <w:sz w:val="32"/>
        </w:rPr>
        <w:t>一、总则</w:t>
      </w:r>
      <w:bookmarkEnd w:id="0"/>
    </w:p>
    <w:p w14:paraId="0481DB0D">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spacing w:val="0"/>
          <w:w w:val="100"/>
          <w:sz w:val="32"/>
          <w:szCs w:val="32"/>
        </w:rPr>
      </w:pPr>
      <w:bookmarkStart w:id="1" w:name="（一）编制目的"/>
      <w:bookmarkEnd w:id="1"/>
      <w:bookmarkStart w:id="2" w:name="_Toc18568"/>
      <w:r>
        <w:rPr>
          <w:rFonts w:hint="eastAsia" w:ascii="楷体" w:hAnsi="楷体" w:eastAsia="楷体" w:cs="楷体"/>
          <w:b w:val="0"/>
          <w:bCs w:val="0"/>
          <w:spacing w:val="0"/>
          <w:w w:val="100"/>
          <w:sz w:val="32"/>
          <w:szCs w:val="32"/>
        </w:rPr>
        <w:t>（一）编制目的</w:t>
      </w:r>
      <w:bookmarkEnd w:id="2"/>
    </w:p>
    <w:p w14:paraId="04BD364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spacing w:val="0"/>
          <w:w w:val="100"/>
          <w:sz w:val="32"/>
          <w:szCs w:val="32"/>
        </w:rPr>
        <w:t>坚持以人民为中心的发展思想，适应经济发展需要，进一步提高向</w:t>
      </w:r>
      <w:bookmarkStart w:id="110" w:name="_GoBack"/>
      <w:r>
        <w:rPr>
          <w:rFonts w:hint="eastAsia" w:ascii="仿宋" w:hAnsi="仿宋" w:eastAsia="仿宋" w:cs="仿宋"/>
          <w:color w:val="auto"/>
          <w:spacing w:val="0"/>
          <w:w w:val="100"/>
          <w:sz w:val="32"/>
          <w:szCs w:val="32"/>
        </w:rPr>
        <w:t>阳区政府应对突发事件的能力，最大程度预防和减少突发事件的发生，减轻突发事件造成的损害，保护公众的生命财产安全，维护社会稳定，促进经济社会全面、协调、可持续、安全发展，根据《中华人民共和国突发事件应对法》和《黑龙江省人民政府关于印发黑龙江省突发事件应急预案管理办法的通知》等相关法律法规的规定，制定本预案。</w:t>
      </w:r>
    </w:p>
    <w:p w14:paraId="69D6F56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_GB2312" w:hAnsi="楷体_GB2312" w:eastAsia="楷体_GB2312" w:cs="楷体_GB2312"/>
          <w:color w:val="auto"/>
          <w:spacing w:val="0"/>
          <w:w w:val="100"/>
          <w:sz w:val="32"/>
          <w:szCs w:val="32"/>
        </w:rPr>
      </w:pPr>
      <w:bookmarkStart w:id="3" w:name="（二）依据"/>
      <w:bookmarkEnd w:id="3"/>
      <w:bookmarkStart w:id="4" w:name="_Toc24316"/>
      <w:r>
        <w:rPr>
          <w:rFonts w:hint="eastAsia" w:ascii="楷体" w:hAnsi="楷体" w:eastAsia="楷体" w:cs="楷体"/>
          <w:b w:val="0"/>
          <w:bCs w:val="0"/>
          <w:color w:val="auto"/>
          <w:spacing w:val="0"/>
          <w:w w:val="100"/>
          <w:sz w:val="32"/>
          <w:szCs w:val="32"/>
        </w:rPr>
        <w:t>（二）编制依据</w:t>
      </w:r>
      <w:bookmarkEnd w:id="4"/>
    </w:p>
    <w:p w14:paraId="7690C362">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en-US" w:eastAsia="zh-CN" w:bidi="zh-CN"/>
        </w:rPr>
        <w:t>1.</w:t>
      </w:r>
      <w:r>
        <w:rPr>
          <w:rFonts w:hint="eastAsia" w:ascii="仿宋" w:hAnsi="仿宋" w:eastAsia="仿宋" w:cs="仿宋"/>
          <w:color w:val="auto"/>
          <w:spacing w:val="0"/>
          <w:w w:val="100"/>
          <w:sz w:val="32"/>
          <w:szCs w:val="32"/>
          <w:lang w:val="zh-CN" w:eastAsia="zh-CN" w:bidi="zh-CN"/>
        </w:rPr>
        <w:t>《中华人民共和国突发事件应对法》（主席令第</w:t>
      </w:r>
      <w:r>
        <w:rPr>
          <w:rFonts w:hint="eastAsia" w:ascii="仿宋" w:hAnsi="仿宋" w:eastAsia="仿宋" w:cs="仿宋"/>
          <w:color w:val="auto"/>
          <w:spacing w:val="0"/>
          <w:w w:val="100"/>
          <w:sz w:val="32"/>
          <w:szCs w:val="32"/>
          <w:lang w:val="en-US" w:eastAsia="zh-CN" w:bidi="zh-CN"/>
        </w:rPr>
        <w:t>25</w:t>
      </w:r>
      <w:r>
        <w:rPr>
          <w:rFonts w:hint="eastAsia" w:ascii="仿宋" w:hAnsi="仿宋" w:eastAsia="仿宋" w:cs="仿宋"/>
          <w:color w:val="auto"/>
          <w:spacing w:val="0"/>
          <w:w w:val="100"/>
          <w:sz w:val="32"/>
          <w:szCs w:val="32"/>
          <w:lang w:val="zh-CN" w:eastAsia="zh-CN" w:bidi="zh-CN"/>
        </w:rPr>
        <w:t>号</w:t>
      </w:r>
      <w:r>
        <w:rPr>
          <w:rFonts w:hint="eastAsia" w:ascii="仿宋" w:hAnsi="仿宋" w:eastAsia="仿宋" w:cs="仿宋"/>
          <w:color w:val="auto"/>
          <w:spacing w:val="0"/>
          <w:w w:val="100"/>
          <w:sz w:val="32"/>
          <w:szCs w:val="32"/>
          <w:lang w:val="en-US" w:eastAsia="zh-CN" w:bidi="zh-CN"/>
        </w:rPr>
        <w:t>修订</w:t>
      </w:r>
      <w:r>
        <w:rPr>
          <w:rFonts w:hint="eastAsia" w:ascii="仿宋" w:hAnsi="仿宋" w:eastAsia="仿宋" w:cs="仿宋"/>
          <w:color w:val="auto"/>
          <w:spacing w:val="0"/>
          <w:w w:val="100"/>
          <w:sz w:val="32"/>
          <w:szCs w:val="32"/>
          <w:lang w:val="zh-CN" w:eastAsia="zh-CN" w:bidi="zh-CN"/>
        </w:rPr>
        <w:t>）</w:t>
      </w:r>
    </w:p>
    <w:p w14:paraId="2AA48070">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en-US" w:eastAsia="zh-CN" w:bidi="zh-CN"/>
        </w:rPr>
        <w:t>2.</w:t>
      </w:r>
      <w:r>
        <w:rPr>
          <w:rFonts w:hint="eastAsia" w:ascii="仿宋" w:hAnsi="仿宋" w:eastAsia="仿宋" w:cs="仿宋"/>
          <w:color w:val="auto"/>
          <w:spacing w:val="0"/>
          <w:w w:val="100"/>
          <w:sz w:val="32"/>
          <w:szCs w:val="32"/>
          <w:lang w:val="zh-CN" w:eastAsia="zh-CN" w:bidi="zh-CN"/>
        </w:rPr>
        <w:t>《国家突发公共事件总体应急预案》（</w:t>
      </w:r>
      <w:r>
        <w:rPr>
          <w:rFonts w:hint="eastAsia" w:ascii="仿宋" w:hAnsi="仿宋" w:eastAsia="仿宋" w:cs="仿宋"/>
          <w:color w:val="auto"/>
          <w:spacing w:val="0"/>
          <w:w w:val="100"/>
          <w:sz w:val="32"/>
          <w:szCs w:val="32"/>
          <w:lang w:val="en-US" w:eastAsia="zh-CN" w:bidi="zh-CN"/>
        </w:rPr>
        <w:t>国务院第79次常务</w:t>
      </w:r>
      <w:r>
        <w:rPr>
          <w:rFonts w:hint="eastAsia" w:ascii="仿宋" w:hAnsi="仿宋" w:eastAsia="仿宋" w:cs="仿宋"/>
          <w:color w:val="auto"/>
          <w:spacing w:val="0"/>
          <w:w w:val="100"/>
          <w:sz w:val="32"/>
          <w:szCs w:val="32"/>
          <w:lang w:val="en-US" w:eastAsia="zh-CN" w:bidi="zh-CN"/>
        </w:rPr>
        <w:t>会议通过</w:t>
      </w:r>
      <w:r>
        <w:rPr>
          <w:rFonts w:hint="eastAsia" w:ascii="仿宋" w:hAnsi="仿宋" w:eastAsia="仿宋" w:cs="仿宋"/>
          <w:color w:val="auto"/>
          <w:spacing w:val="0"/>
          <w:w w:val="100"/>
          <w:sz w:val="32"/>
          <w:szCs w:val="32"/>
          <w:lang w:val="zh-CN" w:eastAsia="zh-CN" w:bidi="zh-CN"/>
        </w:rPr>
        <w:t>）</w:t>
      </w:r>
    </w:p>
    <w:p w14:paraId="2D0E7971">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3.《黑龙江省人</w:t>
      </w:r>
      <w:r>
        <w:rPr>
          <w:rFonts w:hint="eastAsia" w:ascii="仿宋" w:hAnsi="仿宋" w:eastAsia="仿宋" w:cs="仿宋"/>
          <w:color w:val="auto"/>
          <w:spacing w:val="0"/>
          <w:w w:val="100"/>
          <w:sz w:val="32"/>
          <w:szCs w:val="32"/>
          <w:highlight w:val="none"/>
          <w:lang w:val="en-US" w:eastAsia="zh-CN" w:bidi="zh-CN"/>
        </w:rPr>
        <w:t>民政府办公厅关于印发〈黑</w:t>
      </w:r>
      <w:r>
        <w:rPr>
          <w:rFonts w:hint="eastAsia" w:ascii="仿宋" w:hAnsi="仿宋" w:eastAsia="仿宋" w:cs="仿宋"/>
          <w:color w:val="auto"/>
          <w:spacing w:val="0"/>
          <w:w w:val="100"/>
          <w:sz w:val="32"/>
          <w:szCs w:val="32"/>
          <w:lang w:val="en-US" w:eastAsia="zh-CN" w:bidi="zh-CN"/>
        </w:rPr>
        <w:t>龙江省突发事件应急预案管理办法〉的通知》（黑政办发〔2024〕12号）</w:t>
      </w:r>
    </w:p>
    <w:p w14:paraId="44DF11A7">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4.</w:t>
      </w:r>
      <w:r>
        <w:rPr>
          <w:rFonts w:hint="eastAsia" w:ascii="仿宋" w:hAnsi="仿宋" w:eastAsia="仿宋" w:cs="仿宋"/>
          <w:color w:val="auto"/>
          <w:spacing w:val="0"/>
          <w:w w:val="100"/>
          <w:sz w:val="32"/>
          <w:szCs w:val="32"/>
          <w:lang w:val="zh-CN" w:eastAsia="zh-CN" w:bidi="zh-CN"/>
        </w:rPr>
        <w:t>《国务院特别重大、重大突发公共事件分级标准（试行）》（国发</w:t>
      </w:r>
      <w:r>
        <w:rPr>
          <w:rFonts w:hint="eastAsia" w:ascii="仿宋" w:hAnsi="仿宋" w:eastAsia="仿宋" w:cs="仿宋"/>
          <w:color w:val="auto"/>
          <w:spacing w:val="0"/>
          <w:w w:val="100"/>
          <w:sz w:val="32"/>
          <w:szCs w:val="32"/>
          <w:lang w:val="en-US" w:eastAsia="zh-CN" w:bidi="zh-CN"/>
        </w:rPr>
        <w:t>〔2005〕11号）</w:t>
      </w:r>
    </w:p>
    <w:p w14:paraId="3CB5002C">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highlight w:val="none"/>
          <w:lang w:val="en-US" w:eastAsia="zh-CN" w:bidi="zh-CN"/>
        </w:rPr>
      </w:pPr>
      <w:r>
        <w:rPr>
          <w:rFonts w:hint="eastAsia" w:ascii="仿宋" w:hAnsi="仿宋" w:eastAsia="仿宋" w:cs="仿宋"/>
          <w:color w:val="auto"/>
          <w:spacing w:val="0"/>
          <w:w w:val="100"/>
          <w:sz w:val="32"/>
          <w:szCs w:val="32"/>
          <w:highlight w:val="none"/>
          <w:lang w:val="en-US" w:eastAsia="zh-CN" w:bidi="zh-CN"/>
        </w:rPr>
        <w:t>5.《黑龙江省突发事件总体应急预案》</w:t>
      </w:r>
    </w:p>
    <w:p w14:paraId="5870CD21">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6.《佳木斯市突发事件总体应急预案》</w:t>
      </w:r>
      <w:bookmarkStart w:id="5" w:name="（三）适用范围"/>
      <w:bookmarkEnd w:id="5"/>
    </w:p>
    <w:p w14:paraId="7433F37E">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6" w:name="_Toc32269"/>
      <w:r>
        <w:rPr>
          <w:rFonts w:hint="eastAsia" w:ascii="楷体" w:hAnsi="楷体" w:eastAsia="楷体" w:cs="楷体"/>
          <w:b w:val="0"/>
          <w:bCs w:val="0"/>
          <w:color w:val="auto"/>
          <w:spacing w:val="0"/>
          <w:w w:val="100"/>
          <w:sz w:val="32"/>
          <w:szCs w:val="32"/>
        </w:rPr>
        <w:t>（三）适用范围</w:t>
      </w:r>
      <w:bookmarkEnd w:id="6"/>
    </w:p>
    <w:p w14:paraId="675A4B0B">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0" w:firstLineChars="200"/>
        <w:jc w:val="both"/>
        <w:textAlignment w:val="auto"/>
        <w:outlineLvl w:val="2"/>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本预案适用于向阳区辖区内突发公共事件的应对处置工作。</w:t>
      </w:r>
    </w:p>
    <w:p w14:paraId="0DFDE427">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7" w:name="（四）工作原则"/>
      <w:bookmarkEnd w:id="7"/>
      <w:bookmarkStart w:id="8" w:name="_Toc3326"/>
      <w:r>
        <w:rPr>
          <w:rFonts w:hint="eastAsia" w:ascii="楷体" w:hAnsi="楷体" w:eastAsia="楷体" w:cs="楷体"/>
          <w:b w:val="0"/>
          <w:bCs w:val="0"/>
          <w:color w:val="auto"/>
          <w:spacing w:val="0"/>
          <w:w w:val="100"/>
          <w:sz w:val="32"/>
          <w:szCs w:val="32"/>
        </w:rPr>
        <w:t>（四）工作原则</w:t>
      </w:r>
      <w:bookmarkEnd w:id="8"/>
    </w:p>
    <w:p w14:paraId="60266902">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1.生命至上、安全第一</w:t>
      </w:r>
    </w:p>
    <w:p w14:paraId="3C975E73">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0" w:firstLineChars="200"/>
        <w:jc w:val="both"/>
        <w:textAlignment w:val="auto"/>
        <w:outlineLvl w:val="2"/>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zh-CN" w:eastAsia="zh-CN" w:bidi="zh-CN"/>
        </w:rPr>
        <w:t>切实履行好政府的社会管理与公共服务职能，将保障公众健康和</w:t>
      </w:r>
      <w:r>
        <w:rPr>
          <w:rFonts w:hint="eastAsia" w:ascii="仿宋" w:hAnsi="仿宋" w:eastAsia="仿宋" w:cs="仿宋"/>
          <w:b w:val="0"/>
          <w:bCs w:val="0"/>
          <w:color w:val="auto"/>
          <w:spacing w:val="0"/>
          <w:w w:val="100"/>
          <w:sz w:val="32"/>
          <w:szCs w:val="32"/>
          <w:lang w:val="en-US" w:eastAsia="zh-CN" w:bidi="zh-CN"/>
        </w:rPr>
        <w:t>生命财产安全置于首要位置，以最大程度减少突发事件及其造成的人员伤亡和危害为目标，全力维护社会安全稳定与人民福祉。</w:t>
      </w:r>
    </w:p>
    <w:p w14:paraId="160F2AC3">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2.居安思危、预防为主</w:t>
      </w:r>
    </w:p>
    <w:p w14:paraId="5EE82B2B">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0" w:firstLineChars="200"/>
        <w:jc w:val="both"/>
        <w:textAlignment w:val="auto"/>
        <w:outlineLvl w:val="2"/>
        <w:rPr>
          <w:rFonts w:hint="eastAsia" w:ascii="仿宋" w:hAnsi="仿宋" w:eastAsia="仿宋" w:cs="仿宋"/>
          <w:b w:val="0"/>
          <w:bCs w:val="0"/>
          <w:color w:val="auto"/>
          <w:spacing w:val="0"/>
          <w:w w:val="100"/>
          <w:sz w:val="32"/>
          <w:szCs w:val="32"/>
          <w:lang w:val="zh-CN" w:eastAsia="zh-CN" w:bidi="zh-CN"/>
        </w:rPr>
      </w:pPr>
      <w:r>
        <w:rPr>
          <w:rFonts w:hint="eastAsia" w:ascii="仿宋" w:hAnsi="仿宋" w:eastAsia="仿宋" w:cs="仿宋"/>
          <w:b w:val="0"/>
          <w:bCs w:val="0"/>
          <w:color w:val="auto"/>
          <w:spacing w:val="0"/>
          <w:w w:val="100"/>
          <w:sz w:val="32"/>
          <w:szCs w:val="32"/>
          <w:lang w:val="zh-CN" w:eastAsia="zh-CN" w:bidi="zh-CN"/>
        </w:rPr>
        <w:t>把应急处置工作落实到日常管理之中，加强基础建设，强化预警分析，搞好预案演练，增强防范意识，有效控制危机，坚持预防与应急相结合，努力做到早发现、早报告、早控制、早解决。</w:t>
      </w:r>
    </w:p>
    <w:p w14:paraId="0BCCF088">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3.统一领导、综合协调</w:t>
      </w:r>
    </w:p>
    <w:p w14:paraId="50345810">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0" w:firstLineChars="200"/>
        <w:jc w:val="both"/>
        <w:textAlignment w:val="auto"/>
        <w:outlineLvl w:val="2"/>
        <w:rPr>
          <w:rFonts w:hint="eastAsia" w:ascii="仿宋" w:hAnsi="仿宋" w:eastAsia="仿宋" w:cs="仿宋"/>
          <w:b w:val="0"/>
          <w:bCs w:val="0"/>
          <w:color w:val="auto"/>
          <w:spacing w:val="0"/>
          <w:w w:val="100"/>
          <w:sz w:val="32"/>
          <w:szCs w:val="32"/>
          <w:lang w:val="zh-CN" w:eastAsia="zh-CN" w:bidi="zh-CN"/>
        </w:rPr>
      </w:pPr>
      <w:r>
        <w:rPr>
          <w:rFonts w:hint="eastAsia" w:ascii="仿宋" w:hAnsi="仿宋" w:eastAsia="仿宋" w:cs="仿宋"/>
          <w:b w:val="0"/>
          <w:bCs w:val="0"/>
          <w:color w:val="auto"/>
          <w:spacing w:val="0"/>
          <w:w w:val="100"/>
          <w:sz w:val="32"/>
          <w:szCs w:val="32"/>
          <w:lang w:val="zh-CN" w:eastAsia="zh-CN" w:bidi="zh-CN"/>
        </w:rPr>
        <w:t>在区委、区政府的统一领导下，建立健全分类管理、分级负责、条块结合、属地管理、专业处置为主的应急管理体制，建立健全应急协同联动制度，形成统一指挥、反应灵敏、功能齐全、协调有序、运转高效的应急管理机制。</w:t>
      </w:r>
    </w:p>
    <w:p w14:paraId="032342AC">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4.科学规范、快速反应</w:t>
      </w:r>
    </w:p>
    <w:p w14:paraId="7AC16053">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0" w:firstLineChars="200"/>
        <w:jc w:val="both"/>
        <w:textAlignment w:val="auto"/>
        <w:outlineLvl w:val="2"/>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采用先进的预测、预警、预防和应急处置技术及设施，充分发挥专家队伍和专业人员的作用，提高应对突发事件的科技水平和指挥能力，避免发生次生、衍生事件。</w:t>
      </w:r>
    </w:p>
    <w:p w14:paraId="679957EC">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5.属地为主、全民参与</w:t>
      </w:r>
    </w:p>
    <w:p w14:paraId="00CEEEC0">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0" w:firstLineChars="200"/>
        <w:jc w:val="both"/>
        <w:textAlignment w:val="auto"/>
        <w:outlineLvl w:val="2"/>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各街道办事处、村屯加强所辖区域内突发事件风险管控，面对突发事件可以快速反应。加强宣传和培训教育工作，提高公众自救、互救和应对各类突发事件的综合能力。</w:t>
      </w:r>
    </w:p>
    <w:p w14:paraId="1DA9F27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9" w:name="（五）突发事件的概念"/>
      <w:bookmarkEnd w:id="9"/>
      <w:bookmarkStart w:id="10" w:name="_Toc8554"/>
      <w:r>
        <w:rPr>
          <w:rFonts w:hint="eastAsia" w:ascii="楷体" w:hAnsi="楷体" w:eastAsia="楷体" w:cs="楷体"/>
          <w:b w:val="0"/>
          <w:bCs w:val="0"/>
          <w:color w:val="auto"/>
          <w:spacing w:val="0"/>
          <w:w w:val="100"/>
          <w:sz w:val="32"/>
          <w:szCs w:val="32"/>
        </w:rPr>
        <w:t>（五）突发事件的概念</w:t>
      </w:r>
      <w:bookmarkEnd w:id="10"/>
    </w:p>
    <w:p w14:paraId="1BC6F02F">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0" w:firstLineChars="200"/>
        <w:jc w:val="both"/>
        <w:textAlignment w:val="auto"/>
        <w:outlineLvl w:val="2"/>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本预案所称突发事件是指突然发生，造成或可能造成严重社会危害，需要采取应急处置措施予以应对的自然灾害、事故灾难、公共卫生事件和社会安全事件。</w:t>
      </w:r>
    </w:p>
    <w:p w14:paraId="39F90837">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11" w:name="（六）突发事件分类"/>
      <w:bookmarkEnd w:id="11"/>
      <w:bookmarkStart w:id="12" w:name="_Toc20313"/>
      <w:r>
        <w:rPr>
          <w:rFonts w:hint="eastAsia" w:ascii="楷体" w:hAnsi="楷体" w:eastAsia="楷体" w:cs="楷体"/>
          <w:b w:val="0"/>
          <w:bCs w:val="0"/>
          <w:color w:val="auto"/>
          <w:spacing w:val="0"/>
          <w:w w:val="100"/>
          <w:sz w:val="32"/>
          <w:szCs w:val="32"/>
        </w:rPr>
        <w:t>（六）突发事件分类</w:t>
      </w:r>
      <w:bookmarkEnd w:id="12"/>
    </w:p>
    <w:p w14:paraId="21BCEC9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向阳区位于佳木斯市中心区域，西起红旗街、万新街，东至中山街，南起同三高速公路，北至松花江（柳树岛）。辖区总面积38平方公里，人口</w:t>
      </w:r>
      <w:r>
        <w:rPr>
          <w:rFonts w:hint="eastAsia" w:ascii="仿宋" w:hAnsi="仿宋" w:eastAsia="仿宋" w:cs="仿宋"/>
          <w:color w:val="auto"/>
          <w:spacing w:val="0"/>
          <w:w w:val="100"/>
          <w:sz w:val="32"/>
          <w:szCs w:val="32"/>
          <w:lang w:val="en-US"/>
        </w:rPr>
        <w:t>29.5</w:t>
      </w:r>
      <w:r>
        <w:rPr>
          <w:rFonts w:hint="eastAsia" w:ascii="仿宋" w:hAnsi="仿宋" w:eastAsia="仿宋" w:cs="仿宋"/>
          <w:color w:val="auto"/>
          <w:spacing w:val="0"/>
          <w:w w:val="100"/>
          <w:sz w:val="32"/>
          <w:szCs w:val="32"/>
        </w:rPr>
        <w:t>万，辖5个街道办事处、30个社区、5个行政村和3个</w:t>
      </w:r>
      <w:r>
        <w:rPr>
          <w:rFonts w:hint="eastAsia" w:ascii="仿宋" w:hAnsi="仿宋" w:eastAsia="仿宋" w:cs="仿宋"/>
          <w:color w:val="auto"/>
          <w:spacing w:val="0"/>
          <w:w w:val="100"/>
          <w:sz w:val="32"/>
          <w:szCs w:val="32"/>
          <w:lang w:val="en-US"/>
        </w:rPr>
        <w:t>柳树岛</w:t>
      </w:r>
      <w:r>
        <w:rPr>
          <w:rFonts w:hint="eastAsia" w:ascii="仿宋" w:hAnsi="仿宋" w:eastAsia="仿宋" w:cs="仿宋"/>
          <w:color w:val="auto"/>
          <w:spacing w:val="0"/>
          <w:w w:val="100"/>
          <w:sz w:val="32"/>
          <w:szCs w:val="32"/>
        </w:rPr>
        <w:t>自然屯。向阳区可能出现的突发事件包括下面几种类型：</w:t>
      </w:r>
    </w:p>
    <w:p w14:paraId="67CD9E2B">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1.自然灾害类</w:t>
      </w:r>
    </w:p>
    <w:p w14:paraId="5639C9B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向阳区所属的佳木斯市属中温带大陆性季风气候，雨热同期。冬长夏短，无霜期140天左右，年平均降水量527毫米，日照时数2525小时，有效积温2590℃。全区均属三江平原内，北临松花江，区内地势平坦。</w:t>
      </w:r>
    </w:p>
    <w:p w14:paraId="01FD23A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潜在的自然灾害包括洪涝、暴雨、冰雹、干旱、暴雪等气象灾害，以及地震灾害。</w:t>
      </w:r>
    </w:p>
    <w:p w14:paraId="674D0518">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default"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2.事故灾难</w:t>
      </w:r>
      <w:r>
        <w:rPr>
          <w:rFonts w:hint="eastAsia" w:ascii="仿宋" w:hAnsi="仿宋" w:eastAsia="仿宋" w:cs="仿宋"/>
          <w:b/>
          <w:bCs/>
          <w:color w:val="auto"/>
          <w:spacing w:val="0"/>
          <w:w w:val="100"/>
          <w:sz w:val="32"/>
          <w:szCs w:val="32"/>
          <w:lang w:val="en-US" w:eastAsia="zh-CN"/>
        </w:rPr>
        <w:t>类</w:t>
      </w:r>
    </w:p>
    <w:p w14:paraId="10C9649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主要包括工矿商贸等行业的各类安全事故、火灾事故、危险化学品泄漏、公共设施和设备事故、环境污染和生态破坏事件等。</w:t>
      </w:r>
    </w:p>
    <w:p w14:paraId="7CF15A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向阳区位于佳木斯市中心区域，商业密布，公共服务设施完备，交通便捷，人口密集，已成为全市商贸、教育、文化中心和商住中心，并且拥有橡胶、机械、电控等生产制造企业，其中以农机配套加工企业为主。另外还有危险化学品经营企业，如加油站等。</w:t>
      </w:r>
    </w:p>
    <w:p w14:paraId="482B0D3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潜在的事故灾难主要包括重大火灾事故、交通事故、工贸企业、建设工程、公共场所及机关、企事业单位发生的危险化学品泄漏火灾爆炸事故、烟花爆竹事故、机械伤害、有限空间、粉尘爆炸等各类生产安全事故，环境污染和生态破坏等各类事故。</w:t>
      </w:r>
    </w:p>
    <w:p w14:paraId="36A76B3F">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default"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3.公共卫生事件</w:t>
      </w:r>
      <w:r>
        <w:rPr>
          <w:rFonts w:hint="eastAsia" w:ascii="仿宋" w:hAnsi="仿宋" w:eastAsia="仿宋" w:cs="仿宋"/>
          <w:b/>
          <w:bCs/>
          <w:color w:val="auto"/>
          <w:spacing w:val="0"/>
          <w:w w:val="100"/>
          <w:sz w:val="32"/>
          <w:szCs w:val="32"/>
          <w:lang w:val="en-US" w:eastAsia="zh-CN"/>
        </w:rPr>
        <w:t>类</w:t>
      </w:r>
    </w:p>
    <w:p w14:paraId="4FCA2F6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公共卫生事件主要包括传染病疫情、群体性不明原因疾病、急性中毒、食品和药品安全事件、动物疫情以及其他严重影响公众健康和生命安全的事件。</w:t>
      </w:r>
    </w:p>
    <w:p w14:paraId="1A8A0C6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向阳区医疗服务机构比较集中，有佳木斯大学第一附属医院、市中心医院、市中医院等三级甲等医院可以提供便捷的医疗服务。</w:t>
      </w:r>
    </w:p>
    <w:p w14:paraId="3D0B119B">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default"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4.社会安全事件</w:t>
      </w:r>
      <w:r>
        <w:rPr>
          <w:rFonts w:hint="eastAsia" w:ascii="仿宋" w:hAnsi="仿宋" w:eastAsia="仿宋" w:cs="仿宋"/>
          <w:b/>
          <w:bCs/>
          <w:color w:val="auto"/>
          <w:spacing w:val="0"/>
          <w:w w:val="100"/>
          <w:sz w:val="32"/>
          <w:szCs w:val="32"/>
          <w:lang w:val="en-US" w:eastAsia="zh-CN"/>
        </w:rPr>
        <w:t>类</w:t>
      </w:r>
    </w:p>
    <w:p w14:paraId="172A259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向阳区商品批发和零售业的产业链条完整，是黑龙江东部地区最大的商品批发地、零售集散地，也是佳木斯市人流、物流、资金流、信息流高度汇集的中心。</w:t>
      </w:r>
      <w:r>
        <w:rPr>
          <w:rFonts w:hint="eastAsia" w:ascii="仿宋" w:hAnsi="仿宋" w:eastAsia="仿宋" w:cs="仿宋"/>
          <w:b w:val="0"/>
          <w:bCs w:val="0"/>
          <w:color w:val="auto"/>
          <w:spacing w:val="0"/>
          <w:w w:val="100"/>
          <w:sz w:val="32"/>
          <w:szCs w:val="32"/>
          <w:highlight w:val="none"/>
          <w:lang w:val="en-US" w:eastAsia="zh-CN" w:bidi="zh-CN"/>
        </w:rPr>
        <w:t>大商、万达、滨江、大学四大商圈初步确立。</w:t>
      </w:r>
      <w:r>
        <w:rPr>
          <w:rFonts w:hint="eastAsia" w:ascii="仿宋" w:hAnsi="仿宋" w:eastAsia="仿宋" w:cs="仿宋"/>
          <w:b w:val="0"/>
          <w:bCs w:val="0"/>
          <w:color w:val="auto"/>
          <w:spacing w:val="0"/>
          <w:w w:val="100"/>
          <w:sz w:val="32"/>
          <w:szCs w:val="32"/>
          <w:lang w:val="en-US" w:eastAsia="zh-CN" w:bidi="zh-CN"/>
        </w:rPr>
        <w:t>全市半数以上的金融企业，各类银行数百家网点均坐落在向阳区。</w:t>
      </w:r>
    </w:p>
    <w:p w14:paraId="2846270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eastAsia="zh-CN" w:bidi="zh-CN"/>
        </w:rPr>
      </w:pPr>
      <w:r>
        <w:rPr>
          <w:rFonts w:hint="eastAsia" w:ascii="仿宋" w:hAnsi="仿宋" w:eastAsia="仿宋" w:cs="仿宋"/>
          <w:b w:val="0"/>
          <w:bCs w:val="0"/>
          <w:color w:val="auto"/>
          <w:spacing w:val="0"/>
          <w:w w:val="100"/>
          <w:sz w:val="32"/>
          <w:szCs w:val="32"/>
          <w:lang w:val="en-US" w:eastAsia="zh-CN" w:bidi="zh-CN"/>
        </w:rPr>
        <w:t>向阳区所辖区域内潜在的社会安全事件主要包括涉及公共安全案件、暴力案件、涉外突发事件、经济金融安全事件、刑事案件、恐怖袭击事件、网络与信息安全事件和民族宗教事件以及其他群体性事件。上述各类突发事件往往是相互交叉和关联的，不同类别的突发事件有可能同时发生，并引发次生、衍生事件。</w:t>
      </w:r>
    </w:p>
    <w:p w14:paraId="2653BFB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13" w:name="（七）突发事件分级"/>
      <w:bookmarkEnd w:id="13"/>
      <w:bookmarkStart w:id="14" w:name="_Toc14117"/>
      <w:r>
        <w:rPr>
          <w:rFonts w:hint="eastAsia" w:ascii="楷体" w:hAnsi="楷体" w:eastAsia="楷体" w:cs="楷体"/>
          <w:b w:val="0"/>
          <w:bCs w:val="0"/>
          <w:color w:val="auto"/>
          <w:spacing w:val="0"/>
          <w:w w:val="100"/>
          <w:sz w:val="32"/>
          <w:szCs w:val="32"/>
        </w:rPr>
        <w:t>（七）突发事件分级</w:t>
      </w:r>
      <w:bookmarkEnd w:id="14"/>
    </w:p>
    <w:p w14:paraId="75EE7B3C">
      <w:pPr>
        <w:pStyle w:val="16"/>
        <w:keepNext w:val="0"/>
        <w:keepLines w:val="0"/>
        <w:pageBreakBefore w:val="0"/>
        <w:widowControl w:val="0"/>
        <w:tabs>
          <w:tab w:val="left" w:pos="920"/>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rPr>
        <w:t>1.</w:t>
      </w:r>
      <w:r>
        <w:rPr>
          <w:rFonts w:hint="eastAsia" w:ascii="仿宋" w:hAnsi="仿宋" w:eastAsia="仿宋" w:cs="仿宋"/>
          <w:color w:val="auto"/>
          <w:spacing w:val="0"/>
          <w:w w:val="100"/>
          <w:sz w:val="32"/>
          <w:szCs w:val="32"/>
        </w:rPr>
        <w:t>各类突发事件，按照其性质、社会危害程度、可控性、影响范围等因素，由低到高分为一般（Ⅳ级）、较大（Ⅲ级）、重大（Ⅱ级）、特别重大（Ⅰ级）四个级别，具体分级标准执行《国务院特别重大、重大突发公共事件分级标准（试行）》。</w:t>
      </w:r>
    </w:p>
    <w:p w14:paraId="58FAAFFF">
      <w:pPr>
        <w:pStyle w:val="16"/>
        <w:keepNext w:val="0"/>
        <w:keepLines w:val="0"/>
        <w:pageBreakBefore w:val="0"/>
        <w:widowControl w:val="0"/>
        <w:tabs>
          <w:tab w:val="left" w:pos="920"/>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rPr>
        <w:t>2.</w:t>
      </w:r>
      <w:r>
        <w:rPr>
          <w:rFonts w:hint="eastAsia" w:ascii="仿宋" w:hAnsi="仿宋" w:eastAsia="仿宋" w:cs="仿宋"/>
          <w:color w:val="auto"/>
          <w:spacing w:val="0"/>
          <w:w w:val="100"/>
          <w:sz w:val="32"/>
          <w:szCs w:val="32"/>
        </w:rPr>
        <w:t>各类突发事件的分级标准，严格按照国务院或者国务院确定的部门制定的标准执行。</w:t>
      </w:r>
    </w:p>
    <w:p w14:paraId="243EA593">
      <w:pPr>
        <w:keepNext w:val="0"/>
        <w:keepLines w:val="0"/>
        <w:pageBreakBefore w:val="0"/>
        <w:widowControl w:val="0"/>
        <w:numPr>
          <w:ilvl w:val="0"/>
          <w:numId w:val="1"/>
        </w:numPr>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eastAsia" w:ascii="楷体" w:hAnsi="楷体" w:eastAsia="楷体" w:cs="楷体"/>
          <w:b w:val="0"/>
          <w:bCs w:val="0"/>
          <w:color w:val="auto"/>
          <w:spacing w:val="0"/>
          <w:w w:val="100"/>
          <w:sz w:val="32"/>
          <w:szCs w:val="32"/>
        </w:rPr>
      </w:pPr>
      <w:bookmarkStart w:id="15" w:name="（八）预案体系"/>
      <w:bookmarkEnd w:id="15"/>
      <w:bookmarkStart w:id="16" w:name="_Toc20845"/>
      <w:r>
        <w:rPr>
          <w:rFonts w:hint="eastAsia" w:ascii="楷体" w:hAnsi="楷体" w:eastAsia="楷体" w:cs="楷体"/>
          <w:b w:val="0"/>
          <w:bCs w:val="0"/>
          <w:color w:val="auto"/>
          <w:spacing w:val="0"/>
          <w:w w:val="100"/>
          <w:sz w:val="32"/>
          <w:szCs w:val="32"/>
        </w:rPr>
        <w:t>预案体系</w:t>
      </w:r>
      <w:bookmarkEnd w:id="16"/>
    </w:p>
    <w:p w14:paraId="1262CD60">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1.预案分类</w:t>
      </w:r>
    </w:p>
    <w:p w14:paraId="736D8E99">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b w:val="0"/>
          <w:bCs w:val="0"/>
          <w:color w:val="auto"/>
          <w:spacing w:val="0"/>
          <w:w w:val="100"/>
          <w:sz w:val="32"/>
          <w:szCs w:val="32"/>
          <w:lang w:val="en-US"/>
        </w:rPr>
      </w:pPr>
      <w:r>
        <w:rPr>
          <w:rFonts w:hint="eastAsia" w:ascii="仿宋" w:hAnsi="仿宋" w:eastAsia="仿宋" w:cs="仿宋"/>
          <w:b w:val="0"/>
          <w:bCs w:val="0"/>
          <w:color w:val="auto"/>
          <w:spacing w:val="0"/>
          <w:w w:val="100"/>
          <w:sz w:val="32"/>
          <w:szCs w:val="32"/>
          <w:lang w:val="en-US"/>
        </w:rPr>
        <w:t>向阳区突发事件应急预案按照制定主体划分为政府及其部门应急预案、单位和基层组织应急预案两大类。</w:t>
      </w:r>
    </w:p>
    <w:p w14:paraId="4D0482A9">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b w:val="0"/>
          <w:bCs w:val="0"/>
          <w:color w:val="auto"/>
          <w:spacing w:val="0"/>
          <w:w w:val="100"/>
          <w:sz w:val="32"/>
          <w:szCs w:val="32"/>
          <w:lang w:val="en-US"/>
        </w:rPr>
      </w:pPr>
      <w:r>
        <w:rPr>
          <w:rFonts w:hint="eastAsia" w:ascii="仿宋" w:hAnsi="仿宋" w:eastAsia="仿宋" w:cs="仿宋"/>
          <w:b w:val="0"/>
          <w:bCs w:val="0"/>
          <w:color w:val="auto"/>
          <w:spacing w:val="0"/>
          <w:w w:val="100"/>
          <w:sz w:val="32"/>
          <w:szCs w:val="32"/>
          <w:lang w:val="en-US"/>
        </w:rPr>
        <w:t>政府及其部门应急预案由区政府及其部门制定；单位和基层组织应急预案由机关、企事业单位、社会团体和街道办事处等法人和基层组织制定。</w:t>
      </w:r>
    </w:p>
    <w:p w14:paraId="411569A2">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rPr>
      </w:pPr>
      <w:r>
        <w:rPr>
          <w:rFonts w:hint="eastAsia" w:ascii="仿宋" w:hAnsi="仿宋" w:eastAsia="仿宋" w:cs="仿宋"/>
          <w:b/>
          <w:bCs/>
          <w:color w:val="auto"/>
          <w:spacing w:val="0"/>
          <w:w w:val="100"/>
          <w:sz w:val="32"/>
          <w:szCs w:val="32"/>
          <w:lang w:val="en-US"/>
        </w:rPr>
        <w:t>2.预案架构</w:t>
      </w:r>
    </w:p>
    <w:p w14:paraId="6D823654">
      <w:pPr>
        <w:pStyle w:val="16"/>
        <w:keepNext w:val="0"/>
        <w:keepLines w:val="0"/>
        <w:pageBreakBefore w:val="0"/>
        <w:widowControl w:val="0"/>
        <w:numPr>
          <w:ilvl w:val="0"/>
          <w:numId w:val="2"/>
        </w:numPr>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佳木斯市向阳区</w:t>
      </w:r>
      <w:r>
        <w:rPr>
          <w:rFonts w:hint="eastAsia" w:ascii="仿宋" w:hAnsi="仿宋" w:eastAsia="仿宋" w:cs="仿宋"/>
          <w:color w:val="auto"/>
          <w:spacing w:val="0"/>
          <w:w w:val="100"/>
          <w:sz w:val="32"/>
          <w:szCs w:val="32"/>
          <w:highlight w:val="none"/>
          <w:u w:val="none"/>
          <w:lang w:val="en-US" w:eastAsia="zh-CN"/>
        </w:rPr>
        <w:t>突发事件</w:t>
      </w:r>
      <w:r>
        <w:rPr>
          <w:rFonts w:hint="eastAsia" w:ascii="仿宋" w:hAnsi="仿宋" w:eastAsia="仿宋" w:cs="仿宋"/>
          <w:color w:val="auto"/>
          <w:spacing w:val="0"/>
          <w:w w:val="100"/>
          <w:sz w:val="32"/>
          <w:szCs w:val="32"/>
        </w:rPr>
        <w:t>总体应急预案</w:t>
      </w:r>
    </w:p>
    <w:p w14:paraId="6B7CF929">
      <w:pPr>
        <w:pStyle w:val="16"/>
        <w:keepNext w:val="0"/>
        <w:keepLines w:val="0"/>
        <w:pageBreakBefore w:val="0"/>
        <w:widowControl w:val="0"/>
        <w:numPr>
          <w:ilvl w:val="0"/>
          <w:numId w:val="2"/>
        </w:numPr>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佳木斯市向阳区突发事件专项应急预案</w:t>
      </w:r>
    </w:p>
    <w:p w14:paraId="4C450821">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w:t>
      </w:r>
      <w:r>
        <w:rPr>
          <w:rFonts w:hint="eastAsia" w:ascii="仿宋" w:hAnsi="仿宋" w:eastAsia="仿宋" w:cs="仿宋"/>
          <w:color w:val="auto"/>
          <w:spacing w:val="0"/>
          <w:w w:val="100"/>
          <w:sz w:val="32"/>
          <w:szCs w:val="32"/>
        </w:rPr>
        <w:t>佳木斯市向阳区生产安全事故应急预案</w:t>
      </w:r>
    </w:p>
    <w:p w14:paraId="37FF2332">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2.</w:t>
      </w:r>
      <w:r>
        <w:rPr>
          <w:rFonts w:hint="eastAsia" w:ascii="仿宋" w:hAnsi="仿宋" w:eastAsia="仿宋" w:cs="仿宋"/>
          <w:color w:val="auto"/>
          <w:spacing w:val="0"/>
          <w:w w:val="100"/>
          <w:sz w:val="32"/>
          <w:szCs w:val="32"/>
        </w:rPr>
        <w:t>佳木斯市向阳区危险化学品生产安全事故应急预案</w:t>
      </w:r>
    </w:p>
    <w:p w14:paraId="4AC5B617">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3.</w:t>
      </w:r>
      <w:r>
        <w:rPr>
          <w:rFonts w:hint="eastAsia" w:ascii="仿宋" w:hAnsi="仿宋" w:eastAsia="仿宋" w:cs="仿宋"/>
          <w:color w:val="auto"/>
          <w:spacing w:val="0"/>
          <w:w w:val="100"/>
          <w:sz w:val="32"/>
          <w:szCs w:val="32"/>
        </w:rPr>
        <w:t>佳木斯市向阳区自然灾害救助应急保障预案</w:t>
      </w:r>
    </w:p>
    <w:p w14:paraId="5D506050">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4.</w:t>
      </w:r>
      <w:r>
        <w:rPr>
          <w:rFonts w:hint="eastAsia" w:ascii="仿宋" w:hAnsi="仿宋" w:eastAsia="仿宋" w:cs="仿宋"/>
          <w:color w:val="auto"/>
          <w:spacing w:val="0"/>
          <w:w w:val="100"/>
          <w:sz w:val="32"/>
          <w:szCs w:val="32"/>
        </w:rPr>
        <w:t>佳木斯市向阳区抗旱应急预案</w:t>
      </w:r>
    </w:p>
    <w:p w14:paraId="2E0219BB">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5.</w:t>
      </w:r>
      <w:r>
        <w:rPr>
          <w:rFonts w:hint="eastAsia" w:ascii="仿宋" w:hAnsi="仿宋" w:eastAsia="仿宋" w:cs="仿宋"/>
          <w:color w:val="auto"/>
          <w:spacing w:val="0"/>
          <w:w w:val="100"/>
          <w:sz w:val="32"/>
          <w:szCs w:val="32"/>
        </w:rPr>
        <w:t>佳木斯市向阳区地震灾害应急预案</w:t>
      </w:r>
    </w:p>
    <w:p w14:paraId="6F455977">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6.</w:t>
      </w:r>
      <w:r>
        <w:rPr>
          <w:rFonts w:hint="eastAsia" w:ascii="仿宋" w:hAnsi="仿宋" w:eastAsia="仿宋" w:cs="仿宋"/>
          <w:color w:val="auto"/>
          <w:spacing w:val="0"/>
          <w:w w:val="100"/>
          <w:sz w:val="32"/>
          <w:szCs w:val="32"/>
        </w:rPr>
        <w:t>佳木斯市向阳区突发燃气事件应急预案</w:t>
      </w:r>
    </w:p>
    <w:p w14:paraId="1B7CC022">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7.</w:t>
      </w:r>
      <w:r>
        <w:rPr>
          <w:rFonts w:hint="eastAsia" w:ascii="仿宋" w:hAnsi="仿宋" w:eastAsia="仿宋" w:cs="仿宋"/>
          <w:color w:val="auto"/>
          <w:spacing w:val="0"/>
          <w:w w:val="100"/>
          <w:sz w:val="32"/>
          <w:szCs w:val="32"/>
        </w:rPr>
        <w:t>佳木斯市向阳区突发公共卫生事件应急预案</w:t>
      </w:r>
    </w:p>
    <w:p w14:paraId="5FD799D8">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8.</w:t>
      </w:r>
      <w:r>
        <w:rPr>
          <w:rFonts w:hint="eastAsia" w:ascii="仿宋" w:hAnsi="仿宋" w:eastAsia="仿宋" w:cs="仿宋"/>
          <w:color w:val="auto"/>
          <w:spacing w:val="0"/>
          <w:w w:val="100"/>
          <w:sz w:val="32"/>
          <w:szCs w:val="32"/>
        </w:rPr>
        <w:t>佳木斯市向阳区食品安全事故应急预案</w:t>
      </w:r>
    </w:p>
    <w:p w14:paraId="65035F3E">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9.</w:t>
      </w:r>
      <w:r>
        <w:rPr>
          <w:rFonts w:hint="eastAsia" w:ascii="仿宋" w:hAnsi="仿宋" w:eastAsia="仿宋" w:cs="仿宋"/>
          <w:color w:val="auto"/>
          <w:spacing w:val="0"/>
          <w:w w:val="100"/>
          <w:sz w:val="32"/>
          <w:szCs w:val="32"/>
        </w:rPr>
        <w:t>佳木斯市向阳区特种设备事故应急预案</w:t>
      </w:r>
    </w:p>
    <w:p w14:paraId="289D9342">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10.</w:t>
      </w:r>
      <w:r>
        <w:rPr>
          <w:rFonts w:hint="eastAsia" w:ascii="仿宋" w:hAnsi="仿宋" w:eastAsia="仿宋" w:cs="仿宋"/>
          <w:color w:val="auto"/>
          <w:spacing w:val="0"/>
          <w:w w:val="100"/>
          <w:sz w:val="32"/>
          <w:szCs w:val="32"/>
        </w:rPr>
        <w:t>佳木斯市向阳区农作物有害生物灾害应急预案</w:t>
      </w:r>
    </w:p>
    <w:p w14:paraId="60FF61A2">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11.</w:t>
      </w:r>
      <w:r>
        <w:rPr>
          <w:rFonts w:hint="eastAsia" w:ascii="仿宋" w:hAnsi="仿宋" w:eastAsia="仿宋" w:cs="仿宋"/>
          <w:color w:val="auto"/>
          <w:spacing w:val="0"/>
          <w:w w:val="100"/>
          <w:sz w:val="32"/>
          <w:szCs w:val="32"/>
        </w:rPr>
        <w:t>佳木斯市向阳区建筑工程质量安全事故应急预案</w:t>
      </w:r>
    </w:p>
    <w:p w14:paraId="2CE5106C">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12.</w:t>
      </w:r>
      <w:r>
        <w:rPr>
          <w:rFonts w:hint="eastAsia" w:ascii="仿宋" w:hAnsi="仿宋" w:eastAsia="仿宋" w:cs="仿宋"/>
          <w:color w:val="auto"/>
          <w:spacing w:val="0"/>
          <w:w w:val="100"/>
          <w:sz w:val="32"/>
          <w:szCs w:val="32"/>
        </w:rPr>
        <w:t>佳木斯市向阳区群体性上访事件应急预案</w:t>
      </w:r>
    </w:p>
    <w:p w14:paraId="76C9AF92">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13.</w:t>
      </w:r>
      <w:r>
        <w:rPr>
          <w:rFonts w:hint="eastAsia" w:ascii="仿宋" w:hAnsi="仿宋" w:eastAsia="仿宋" w:cs="仿宋"/>
          <w:color w:val="auto"/>
          <w:spacing w:val="0"/>
          <w:w w:val="100"/>
          <w:sz w:val="32"/>
          <w:szCs w:val="32"/>
        </w:rPr>
        <w:t>佳木斯市向阳区养老机构突发事件应急预案</w:t>
      </w:r>
    </w:p>
    <w:p w14:paraId="20444054">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14.</w:t>
      </w:r>
      <w:r>
        <w:rPr>
          <w:rFonts w:hint="eastAsia" w:ascii="仿宋" w:hAnsi="仿宋" w:eastAsia="仿宋" w:cs="仿宋"/>
          <w:color w:val="auto"/>
          <w:spacing w:val="0"/>
          <w:w w:val="100"/>
          <w:sz w:val="32"/>
          <w:szCs w:val="32"/>
        </w:rPr>
        <w:t>佳木斯市向阳区防汛应急预案</w:t>
      </w:r>
    </w:p>
    <w:p w14:paraId="27190A42">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15.</w:t>
      </w:r>
      <w:r>
        <w:rPr>
          <w:rFonts w:hint="eastAsia" w:ascii="仿宋" w:hAnsi="仿宋" w:eastAsia="仿宋" w:cs="仿宋"/>
          <w:color w:val="auto"/>
          <w:spacing w:val="0"/>
          <w:w w:val="100"/>
          <w:sz w:val="32"/>
          <w:szCs w:val="32"/>
        </w:rPr>
        <w:t>其他专项应急预案</w:t>
      </w:r>
    </w:p>
    <w:p w14:paraId="06AB442C">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16.</w:t>
      </w:r>
      <w:r>
        <w:rPr>
          <w:rFonts w:hint="eastAsia" w:ascii="仿宋" w:hAnsi="仿宋" w:eastAsia="仿宋" w:cs="仿宋"/>
          <w:color w:val="auto"/>
          <w:spacing w:val="0"/>
          <w:w w:val="100"/>
          <w:sz w:val="32"/>
          <w:szCs w:val="32"/>
        </w:rPr>
        <w:t>部门应急预案：政府有关部门根据各自职责及总体应急预案的要求，对专项应急预案中没有涉及到的灾害、灾种和应急保障预案中没有涉及到的应急保障事宜，结合实际制定应急预案。</w:t>
      </w:r>
    </w:p>
    <w:p w14:paraId="7362F651">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17.</w:t>
      </w:r>
      <w:r>
        <w:rPr>
          <w:rFonts w:hint="eastAsia" w:ascii="仿宋" w:hAnsi="仿宋" w:eastAsia="仿宋" w:cs="仿宋"/>
          <w:color w:val="auto"/>
          <w:spacing w:val="0"/>
          <w:w w:val="100"/>
          <w:sz w:val="32"/>
          <w:szCs w:val="32"/>
        </w:rPr>
        <w:t>生产经营单位根据有关法律法规和政府应急预案的要求，结合实际制定本单位的应急预案。</w:t>
      </w:r>
    </w:p>
    <w:p w14:paraId="36907351">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18.</w:t>
      </w:r>
      <w:r>
        <w:rPr>
          <w:rFonts w:hint="eastAsia" w:ascii="仿宋" w:hAnsi="仿宋" w:eastAsia="仿宋" w:cs="仿宋"/>
          <w:color w:val="auto"/>
          <w:spacing w:val="0"/>
          <w:w w:val="100"/>
          <w:sz w:val="32"/>
          <w:szCs w:val="32"/>
        </w:rPr>
        <w:t>部门应急预案和生产经营单位应急预案是向阳区应急预案体系的组成部分，实行分类管理、分级负责。</w:t>
      </w:r>
    </w:p>
    <w:p w14:paraId="5EA4C7DC">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19.</w:t>
      </w:r>
      <w:r>
        <w:rPr>
          <w:rFonts w:hint="eastAsia" w:ascii="仿宋" w:hAnsi="仿宋" w:eastAsia="仿宋" w:cs="仿宋"/>
          <w:color w:val="auto"/>
          <w:spacing w:val="0"/>
          <w:w w:val="100"/>
          <w:sz w:val="32"/>
          <w:szCs w:val="32"/>
        </w:rPr>
        <w:t>各类预案</w:t>
      </w:r>
      <w:r>
        <w:rPr>
          <w:rFonts w:hint="eastAsia" w:ascii="仿宋" w:hAnsi="仿宋" w:eastAsia="仿宋" w:cs="仿宋"/>
          <w:color w:val="auto"/>
          <w:spacing w:val="0"/>
          <w:w w:val="100"/>
          <w:sz w:val="32"/>
          <w:szCs w:val="32"/>
          <w:lang w:val="en-US"/>
        </w:rPr>
        <w:t>可</w:t>
      </w:r>
      <w:r>
        <w:rPr>
          <w:rFonts w:hint="eastAsia" w:ascii="仿宋" w:hAnsi="仿宋" w:eastAsia="仿宋" w:cs="仿宋"/>
          <w:color w:val="auto"/>
          <w:spacing w:val="0"/>
          <w:w w:val="100"/>
          <w:sz w:val="32"/>
          <w:szCs w:val="32"/>
        </w:rPr>
        <w:t>根据实际情况变化不断补充、完善。向阳区发生突发事件时，依据突发事件的种类、严重程度分级启动相应预案实施救援行动。未制定专项应急预案或重大活动预案的突发事件，参照相</w:t>
      </w:r>
      <w:r>
        <w:rPr>
          <w:rFonts w:hint="eastAsia" w:ascii="仿宋" w:hAnsi="仿宋" w:eastAsia="仿宋" w:cs="仿宋"/>
          <w:color w:val="auto"/>
          <w:spacing w:val="0"/>
          <w:w w:val="100"/>
          <w:sz w:val="32"/>
          <w:szCs w:val="32"/>
          <w:lang w:val="en-US"/>
        </w:rPr>
        <w:t>近</w:t>
      </w:r>
      <w:r>
        <w:rPr>
          <w:rFonts w:hint="eastAsia" w:ascii="仿宋" w:hAnsi="仿宋" w:eastAsia="仿宋" w:cs="仿宋"/>
          <w:color w:val="auto"/>
          <w:spacing w:val="0"/>
          <w:w w:val="100"/>
          <w:sz w:val="32"/>
          <w:szCs w:val="32"/>
        </w:rPr>
        <w:t>的应急预案进行应对处置。</w:t>
      </w:r>
    </w:p>
    <w:p w14:paraId="7294302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黑体" w:hAnsi="黑体" w:eastAsia="黑体" w:cs="黑体"/>
          <w:b w:val="0"/>
          <w:bCs w:val="0"/>
          <w:color w:val="auto"/>
          <w:spacing w:val="0"/>
          <w:w w:val="100"/>
          <w:sz w:val="32"/>
        </w:rPr>
      </w:pPr>
      <w:bookmarkStart w:id="17" w:name="二、应急组织指挥体系和职责"/>
      <w:bookmarkEnd w:id="17"/>
      <w:bookmarkStart w:id="18" w:name="_Toc23106"/>
      <w:r>
        <w:rPr>
          <w:rFonts w:hint="eastAsia" w:ascii="黑体" w:hAnsi="黑体" w:eastAsia="黑体" w:cs="黑体"/>
          <w:b w:val="0"/>
          <w:bCs w:val="0"/>
          <w:color w:val="auto"/>
          <w:spacing w:val="0"/>
          <w:w w:val="100"/>
          <w:sz w:val="32"/>
        </w:rPr>
        <w:t>二、应急组织指挥体系和职责</w:t>
      </w:r>
      <w:bookmarkEnd w:id="18"/>
    </w:p>
    <w:p w14:paraId="3A08B50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向阳区突发事件应急组织体系由领导机构、</w:t>
      </w:r>
      <w:r>
        <w:rPr>
          <w:rFonts w:hint="eastAsia" w:ascii="仿宋" w:hAnsi="仿宋" w:eastAsia="仿宋" w:cs="仿宋"/>
          <w:color w:val="auto"/>
          <w:spacing w:val="0"/>
          <w:w w:val="100"/>
          <w:sz w:val="32"/>
          <w:szCs w:val="32"/>
          <w:lang w:val="en-US" w:eastAsia="zh-CN" w:bidi="zh-CN"/>
        </w:rPr>
        <w:t>专项</w:t>
      </w:r>
      <w:r>
        <w:rPr>
          <w:rFonts w:hint="eastAsia" w:ascii="仿宋" w:hAnsi="仿宋" w:eastAsia="仿宋" w:cs="仿宋"/>
          <w:color w:val="auto"/>
          <w:spacing w:val="0"/>
          <w:w w:val="100"/>
          <w:sz w:val="32"/>
          <w:szCs w:val="32"/>
          <w:lang w:val="zh-CN" w:eastAsia="zh-CN" w:bidi="zh-CN"/>
        </w:rPr>
        <w:t>指挥机构、办事机构、工作机构、专家组、街道办事处应急组织机构、企事业单位应急组织机构以及社会组织和公众共同组成。</w:t>
      </w:r>
    </w:p>
    <w:p w14:paraId="7B153ABC">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19" w:name="（一）领导机构"/>
      <w:bookmarkEnd w:id="19"/>
      <w:bookmarkStart w:id="20" w:name="_Toc4777"/>
      <w:r>
        <w:rPr>
          <w:rFonts w:hint="eastAsia" w:ascii="楷体" w:hAnsi="楷体" w:eastAsia="楷体" w:cs="楷体"/>
          <w:b w:val="0"/>
          <w:bCs w:val="0"/>
          <w:color w:val="auto"/>
          <w:spacing w:val="0"/>
          <w:w w:val="100"/>
          <w:sz w:val="32"/>
          <w:szCs w:val="32"/>
        </w:rPr>
        <w:t>（一）领导机构</w:t>
      </w:r>
      <w:bookmarkEnd w:id="20"/>
    </w:p>
    <w:p w14:paraId="787B27C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在区委领导下，区政府是全区突发事件应急管理工作最高行政领导机构，设置向阳区突发事件应急救援指挥部。</w:t>
      </w:r>
    </w:p>
    <w:p w14:paraId="27B28D5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主要职责是：研究制定全区应急管理工作方面的重大决策和指导意见；组织指挥处置一般突发事件；在国家、省、市政府的领导下组织处置特别重大、重大、较大突发事件；对突发事件应对工作开展总结评估。</w:t>
      </w:r>
    </w:p>
    <w:p w14:paraId="07E5CA95">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21" w:name="（二）专项指挥机构"/>
      <w:bookmarkEnd w:id="21"/>
      <w:bookmarkStart w:id="22" w:name="_Toc8942"/>
      <w:r>
        <w:rPr>
          <w:rFonts w:hint="eastAsia" w:ascii="楷体" w:hAnsi="楷体" w:eastAsia="楷体" w:cs="楷体"/>
          <w:b w:val="0"/>
          <w:bCs w:val="0"/>
          <w:color w:val="auto"/>
          <w:spacing w:val="0"/>
          <w:w w:val="100"/>
          <w:sz w:val="32"/>
          <w:szCs w:val="32"/>
        </w:rPr>
        <w:t>（二）专项指挥机构</w:t>
      </w:r>
      <w:bookmarkEnd w:id="22"/>
    </w:p>
    <w:p w14:paraId="1599668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区政府根据突发事件应对工作需要，设立专项指挥机构，承担相关类别突发事件应急准备和应对处置工作的组织指挥。区领导按照分工担任专项应急指挥部的总指挥、副总指挥，成员由突发事件应急责任部门和相关成员单位负责人组成。</w:t>
      </w:r>
    </w:p>
    <w:p w14:paraId="38FF564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必要时，突发事件应急处置可成立事件现场应急救援指挥部，由主管副区长、突发事件应急责任部门负责人担任总指挥和副总指挥，负责事件现场应急救援指挥工作。</w:t>
      </w:r>
    </w:p>
    <w:p w14:paraId="369DF10F">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zh-CN" w:eastAsia="zh-CN"/>
        </w:rPr>
      </w:pPr>
      <w:bookmarkStart w:id="23" w:name="（三）办事机构"/>
      <w:bookmarkEnd w:id="23"/>
      <w:bookmarkStart w:id="24" w:name="_Toc28445"/>
      <w:r>
        <w:rPr>
          <w:rFonts w:hint="eastAsia" w:ascii="楷体" w:hAnsi="楷体" w:eastAsia="楷体" w:cs="楷体"/>
          <w:b w:val="0"/>
          <w:bCs w:val="0"/>
          <w:color w:val="auto"/>
          <w:spacing w:val="0"/>
          <w:w w:val="100"/>
          <w:sz w:val="32"/>
          <w:szCs w:val="32"/>
          <w:lang w:val="zh-CN" w:eastAsia="zh-CN"/>
        </w:rPr>
        <w:t>（三）办事机构</w:t>
      </w:r>
      <w:bookmarkEnd w:id="24"/>
    </w:p>
    <w:p w14:paraId="64358B5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突发事件应急救援指挥部在区应急局设置办公室，具体职责：发挥应急运转枢纽作用，履行应急值守、信息汇总和综合协调职责。协调突发事件的预防预警、应急处置、调查评估、信息发布、应急保障等工作，协助完成突发事件的应对工作。负责全区应急管理工作，指导全区应急预案体系建设，统筹全区应急能力建设。</w:t>
      </w:r>
    </w:p>
    <w:p w14:paraId="752E651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专项预案应急救援指挥部办公室设在突发事件应急责任部门。具体职责：负责突发事件应急指挥和处置。联系各成员单位和相关部门，指导和检查相关应急管理工作。负责督促落实应急管理工作的方针政策和决策部署。加强与毗邻区域的联系，建立健全应急工作协作机制。</w:t>
      </w:r>
    </w:p>
    <w:p w14:paraId="0FE9D657">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zh-CN" w:eastAsia="zh-CN"/>
        </w:rPr>
      </w:pPr>
      <w:bookmarkStart w:id="25" w:name="（四）工作机构"/>
      <w:bookmarkEnd w:id="25"/>
      <w:bookmarkStart w:id="26" w:name="_Toc22346"/>
      <w:r>
        <w:rPr>
          <w:rFonts w:hint="eastAsia" w:ascii="楷体" w:hAnsi="楷体" w:eastAsia="楷体" w:cs="楷体"/>
          <w:b w:val="0"/>
          <w:bCs w:val="0"/>
          <w:color w:val="auto"/>
          <w:spacing w:val="0"/>
          <w:w w:val="100"/>
          <w:sz w:val="32"/>
          <w:szCs w:val="32"/>
          <w:lang w:val="zh-CN" w:eastAsia="zh-CN"/>
        </w:rPr>
        <w:t>（四）工作机构</w:t>
      </w:r>
      <w:bookmarkEnd w:id="26"/>
    </w:p>
    <w:p w14:paraId="18D08221">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1.抢险救援组</w:t>
      </w:r>
    </w:p>
    <w:p w14:paraId="121CDA26">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牵头单位：事故相关主管部门</w:t>
      </w:r>
    </w:p>
    <w:p w14:paraId="77E99315">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eastAsia="zh-CN"/>
        </w:rPr>
      </w:pPr>
      <w:r>
        <w:rPr>
          <w:rFonts w:hint="eastAsia" w:ascii="仿宋" w:hAnsi="仿宋" w:eastAsia="仿宋" w:cs="仿宋"/>
          <w:color w:val="auto"/>
          <w:spacing w:val="0"/>
          <w:w w:val="100"/>
          <w:sz w:val="32"/>
          <w:szCs w:val="32"/>
        </w:rPr>
        <w:t>成员单位：区应急局、区消防救援大队、突发事件所在街道办事处、村屯、企事业单位兼职救援队伍</w:t>
      </w:r>
      <w:r>
        <w:rPr>
          <w:rFonts w:hint="eastAsia" w:ascii="仿宋" w:hAnsi="仿宋" w:eastAsia="仿宋" w:cs="仿宋"/>
          <w:color w:val="auto"/>
          <w:spacing w:val="0"/>
          <w:w w:val="100"/>
          <w:sz w:val="32"/>
          <w:szCs w:val="32"/>
          <w:lang w:eastAsia="zh-CN"/>
        </w:rPr>
        <w:t>。</w:t>
      </w:r>
    </w:p>
    <w:p w14:paraId="56BC7E12">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职责：负责实施事故现场指挥部批准的抢险救援方案；向后勤保障组和有关部门提供抢险救援所需物资清单、救援所需各类图纸资料；组织指挥救援人员进入事故现场实施抢险救援。</w:t>
      </w:r>
    </w:p>
    <w:p w14:paraId="183D52AE">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2.医疗救护组</w:t>
      </w:r>
    </w:p>
    <w:p w14:paraId="0399A46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牵头单位：区卫健局</w:t>
      </w:r>
    </w:p>
    <w:p w14:paraId="38447F9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eastAsia="zh-CN"/>
        </w:rPr>
      </w:pPr>
      <w:r>
        <w:rPr>
          <w:rFonts w:hint="eastAsia" w:ascii="仿宋" w:hAnsi="仿宋" w:eastAsia="仿宋" w:cs="仿宋"/>
          <w:color w:val="auto"/>
          <w:spacing w:val="0"/>
          <w:w w:val="100"/>
          <w:sz w:val="32"/>
          <w:szCs w:val="32"/>
        </w:rPr>
        <w:t>成员单位：区市场局、突发事件所在街道办事处、村屯、社会公益组织等</w:t>
      </w:r>
      <w:r>
        <w:rPr>
          <w:rFonts w:hint="eastAsia" w:ascii="仿宋" w:hAnsi="仿宋" w:eastAsia="仿宋" w:cs="仿宋"/>
          <w:color w:val="auto"/>
          <w:spacing w:val="0"/>
          <w:w w:val="100"/>
          <w:sz w:val="32"/>
          <w:szCs w:val="32"/>
          <w:lang w:eastAsia="zh-CN"/>
        </w:rPr>
        <w:t>。</w:t>
      </w:r>
    </w:p>
    <w:p w14:paraId="36DFE04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职责：负责组织协调调配救护车、专家和卫生应急队伍等卫生资源；开展事故伤员或中毒人员急救转运、救治和现场卫生防疫工作；组织协调卫生应急药品、器械等物资调配和质量监督管理工作。</w:t>
      </w:r>
    </w:p>
    <w:p w14:paraId="45ACF45D">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3.治安保卫组</w:t>
      </w:r>
    </w:p>
    <w:p w14:paraId="1727806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牵头单位：向阳公安分局、向阳交警大队</w:t>
      </w:r>
    </w:p>
    <w:p w14:paraId="6176E456">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eastAsia="zh-CN"/>
        </w:rPr>
      </w:pPr>
      <w:r>
        <w:rPr>
          <w:rFonts w:hint="eastAsia" w:ascii="仿宋" w:hAnsi="仿宋" w:eastAsia="仿宋" w:cs="仿宋"/>
          <w:color w:val="auto"/>
          <w:spacing w:val="0"/>
          <w:w w:val="100"/>
          <w:sz w:val="32"/>
          <w:szCs w:val="32"/>
        </w:rPr>
        <w:t>成员单位：突发事件所在街道办事处、村屯、突发事件所在单位</w:t>
      </w:r>
      <w:r>
        <w:rPr>
          <w:rFonts w:hint="eastAsia" w:ascii="仿宋" w:hAnsi="仿宋" w:eastAsia="仿宋" w:cs="仿宋"/>
          <w:color w:val="auto"/>
          <w:spacing w:val="0"/>
          <w:w w:val="100"/>
          <w:sz w:val="32"/>
          <w:szCs w:val="32"/>
          <w:lang w:eastAsia="zh-CN"/>
        </w:rPr>
        <w:t>。</w:t>
      </w:r>
    </w:p>
    <w:p w14:paraId="2922920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职责：向阳公安分局负责保护事故现场、维护现场秩序、安全保卫和群众疏散；向阳交警大队负责事故现场的道路交通管理、管制。突发事件所在街道办事处、村屯、单位等协助。</w:t>
      </w:r>
    </w:p>
    <w:p w14:paraId="2E4A029F">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4.后勤保障组</w:t>
      </w:r>
    </w:p>
    <w:p w14:paraId="685357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牵头单位：区民政局、突发事件所在街道办事处、村屯</w:t>
      </w:r>
    </w:p>
    <w:p w14:paraId="60618BA5">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成员单位：区工信局、区财政局、区卫健局、区城管局、向阳交警大队及突发事件所在单位，必要时，向阳生态环境局、自然资源和规划局一分局</w:t>
      </w:r>
      <w:r>
        <w:rPr>
          <w:rFonts w:hint="eastAsia" w:ascii="仿宋" w:hAnsi="仿宋" w:eastAsia="仿宋" w:cs="仿宋"/>
          <w:color w:val="auto"/>
          <w:spacing w:val="0"/>
          <w:w w:val="100"/>
          <w:sz w:val="32"/>
          <w:szCs w:val="32"/>
        </w:rPr>
        <w:t>负责协调市有关部门提供应急支援。</w:t>
      </w:r>
    </w:p>
    <w:p w14:paraId="193723A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职责：负责事故抢险救援物资联系、采购、供应、车辆及油料调配；为各级指挥人员、抢险人员提供生活与休息场所；负责事故现场抢险物资存放与保管；开辟救援绿色通道，协助调集、征用救援车辆；组织公路抢修、维护，保证交通畅通；为事故应急救援提供环境、气象信息，保证事故现场电力供应；保障救援现场无线通讯及设备完好、通信畅通。</w:t>
      </w:r>
    </w:p>
    <w:p w14:paraId="735F173A">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5.环境监测组</w:t>
      </w:r>
    </w:p>
    <w:p w14:paraId="220B054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牵头单位：向阳生态环境局</w:t>
      </w:r>
    </w:p>
    <w:p w14:paraId="1BD75748">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成员单位：自然资源和规划局一分局，必要时协</w:t>
      </w:r>
      <w:r>
        <w:rPr>
          <w:rFonts w:hint="eastAsia" w:ascii="仿宋" w:hAnsi="仿宋" w:eastAsia="仿宋" w:cs="仿宋"/>
          <w:color w:val="auto"/>
          <w:spacing w:val="0"/>
          <w:w w:val="100"/>
          <w:sz w:val="32"/>
          <w:szCs w:val="32"/>
        </w:rPr>
        <w:t>调市有关部门提供应急支援。</w:t>
      </w:r>
    </w:p>
    <w:p w14:paraId="2F3C25B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职责：负责事故现场大气、水质、土壤环境应急监测工作；根据监测结果及时提出次生环境污染事件防控建议及处置技术指导意见。</w:t>
      </w:r>
    </w:p>
    <w:p w14:paraId="3180D9E5">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6.宣传报道组</w:t>
      </w:r>
    </w:p>
    <w:p w14:paraId="3733E0F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牵头单位：区委宣传部</w:t>
      </w:r>
    </w:p>
    <w:p w14:paraId="5C491A3F">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成员单位：区应急局、突发事件所在街道办事处、村屯。</w:t>
      </w:r>
    </w:p>
    <w:p w14:paraId="7B80D287">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职责：维护现场正常新闻采访秩序，及时做好新闻发布工作，正确引导媒体和公众舆论；完成应急指挥部交办的其他任务。</w:t>
      </w:r>
    </w:p>
    <w:p w14:paraId="1819779C">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7.善后处置组</w:t>
      </w:r>
    </w:p>
    <w:p w14:paraId="240E6B2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牵头单位：区民政局</w:t>
      </w:r>
    </w:p>
    <w:p w14:paraId="5832461C">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成员单位：向阳公安分局、区应急局、区人社局、区卫健局、区财政局、突发事件所在街道办事处、村屯</w:t>
      </w:r>
    </w:p>
    <w:p w14:paraId="1BB872D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职责：做好伤亡人员身份确认，家属安抚、抚恤、理赔，死亡人员尸体处理及有关善后工作；及时与上级人社部门、应急部门、卫</w:t>
      </w:r>
      <w:r>
        <w:rPr>
          <w:rFonts w:hint="eastAsia" w:ascii="仿宋" w:hAnsi="仿宋" w:eastAsia="仿宋" w:cs="仿宋"/>
          <w:color w:val="auto"/>
          <w:spacing w:val="0"/>
          <w:w w:val="100"/>
          <w:sz w:val="32"/>
          <w:szCs w:val="32"/>
          <w:lang w:val="en-US"/>
        </w:rPr>
        <w:t>健</w:t>
      </w:r>
      <w:r>
        <w:rPr>
          <w:rFonts w:hint="eastAsia" w:ascii="仿宋" w:hAnsi="仿宋" w:eastAsia="仿宋" w:cs="仿宋"/>
          <w:color w:val="auto"/>
          <w:spacing w:val="0"/>
          <w:w w:val="100"/>
          <w:sz w:val="32"/>
          <w:szCs w:val="32"/>
        </w:rPr>
        <w:t>部门和财政部门做好沟通和协调，确保完成突发事件后续处理工作。按照应急指挥部的要求组织事故调查和应急救援评估。</w:t>
      </w:r>
    </w:p>
    <w:p w14:paraId="0E19A32E">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8.技术支持组</w:t>
      </w:r>
    </w:p>
    <w:p w14:paraId="0895DAB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牵头单位：突发事件所在单位主管（行业）部门</w:t>
      </w:r>
    </w:p>
    <w:p w14:paraId="77F4E23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eastAsia="zh-CN"/>
        </w:rPr>
      </w:pPr>
      <w:r>
        <w:rPr>
          <w:rFonts w:hint="eastAsia" w:ascii="仿宋" w:hAnsi="仿宋" w:eastAsia="仿宋" w:cs="仿宋"/>
          <w:color w:val="auto"/>
          <w:spacing w:val="0"/>
          <w:w w:val="100"/>
          <w:sz w:val="32"/>
          <w:szCs w:val="32"/>
        </w:rPr>
        <w:t>成员：安全生产、应急救援、医疗救护、卫生防疫、环境保护、交通运输、工程抢险等相关专业部门专家（专家来源可以由行业部门购买服务，也可协调上级部门指派）</w:t>
      </w:r>
      <w:r>
        <w:rPr>
          <w:rFonts w:hint="eastAsia" w:ascii="仿宋" w:hAnsi="仿宋" w:eastAsia="仿宋" w:cs="仿宋"/>
          <w:color w:val="auto"/>
          <w:spacing w:val="0"/>
          <w:w w:val="100"/>
          <w:sz w:val="32"/>
          <w:szCs w:val="32"/>
          <w:lang w:eastAsia="zh-CN"/>
        </w:rPr>
        <w:t>。</w:t>
      </w:r>
    </w:p>
    <w:p w14:paraId="08965CBA">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职责：参与突发事件应急救援预案的制定，分析事故原因、灾害演变和救援技术措施，提出应急救援决策、事故防范和恢复生产意见建议。</w:t>
      </w:r>
    </w:p>
    <w:p w14:paraId="0B7006D8">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leftChars="0" w:firstLine="643" w:firstLineChars="200"/>
        <w:jc w:val="both"/>
        <w:textAlignment w:val="auto"/>
        <w:rPr>
          <w:rFonts w:hint="eastAsia" w:ascii="仿宋" w:hAnsi="仿宋" w:eastAsia="仿宋" w:cs="仿宋"/>
          <w:b/>
          <w:bCs/>
          <w:color w:val="auto"/>
          <w:spacing w:val="0"/>
          <w:w w:val="100"/>
          <w:sz w:val="32"/>
          <w:szCs w:val="32"/>
          <w:lang w:val="en-US" w:eastAsia="zh-CN"/>
        </w:rPr>
      </w:pPr>
      <w:r>
        <w:rPr>
          <w:rFonts w:hint="eastAsia" w:ascii="仿宋" w:hAnsi="仿宋" w:eastAsia="仿宋" w:cs="仿宋"/>
          <w:b/>
          <w:bCs/>
          <w:color w:val="auto"/>
          <w:spacing w:val="0"/>
          <w:w w:val="100"/>
          <w:sz w:val="32"/>
          <w:szCs w:val="32"/>
          <w:lang w:val="en-US" w:eastAsia="zh-CN"/>
        </w:rPr>
        <w:t>9.应急指挥部根据需要调整应急工作组的设置和组成，各成员单位</w:t>
      </w:r>
      <w:r>
        <w:rPr>
          <w:rFonts w:hint="eastAsia" w:ascii="仿宋" w:hAnsi="仿宋" w:eastAsia="仿宋" w:cs="仿宋"/>
          <w:b/>
          <w:bCs/>
          <w:color w:val="auto"/>
          <w:spacing w:val="0"/>
          <w:w w:val="100"/>
          <w:sz w:val="32"/>
          <w:szCs w:val="32"/>
          <w:highlight w:val="none"/>
          <w:lang w:val="en-US" w:eastAsia="zh-CN"/>
        </w:rPr>
        <w:t>无条件服从</w:t>
      </w:r>
      <w:r>
        <w:rPr>
          <w:rFonts w:hint="eastAsia" w:ascii="仿宋" w:hAnsi="仿宋" w:eastAsia="仿宋" w:cs="仿宋"/>
          <w:b/>
          <w:bCs/>
          <w:color w:val="auto"/>
          <w:spacing w:val="0"/>
          <w:w w:val="100"/>
          <w:sz w:val="32"/>
          <w:szCs w:val="32"/>
          <w:lang w:val="en-US" w:eastAsia="zh-CN"/>
        </w:rPr>
        <w:t>，并按照依次接替的原则积极承担部门职责。</w:t>
      </w:r>
    </w:p>
    <w:p w14:paraId="63C33394">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eastAsia="zh-CN"/>
        </w:rPr>
      </w:pPr>
      <w:bookmarkStart w:id="27" w:name="（五）专家组"/>
      <w:bookmarkEnd w:id="27"/>
      <w:bookmarkStart w:id="28" w:name="_Toc11657"/>
      <w:r>
        <w:rPr>
          <w:rFonts w:hint="eastAsia" w:ascii="楷体" w:hAnsi="楷体" w:eastAsia="楷体" w:cs="楷体"/>
          <w:b w:val="0"/>
          <w:bCs w:val="0"/>
          <w:color w:val="auto"/>
          <w:spacing w:val="0"/>
          <w:w w:val="100"/>
          <w:sz w:val="32"/>
          <w:szCs w:val="32"/>
          <w:lang w:val="zh-CN" w:eastAsia="zh-CN"/>
        </w:rPr>
        <w:t>（五）专家</w:t>
      </w:r>
      <w:r>
        <w:rPr>
          <w:rFonts w:hint="eastAsia" w:ascii="楷体" w:hAnsi="楷体" w:eastAsia="楷体" w:cs="楷体"/>
          <w:b w:val="0"/>
          <w:bCs w:val="0"/>
          <w:color w:val="auto"/>
          <w:spacing w:val="0"/>
          <w:w w:val="100"/>
          <w:sz w:val="32"/>
          <w:szCs w:val="32"/>
          <w:lang w:val="en-US" w:eastAsia="zh-CN"/>
        </w:rPr>
        <w:t>组</w:t>
      </w:r>
      <w:bookmarkEnd w:id="28"/>
    </w:p>
    <w:p w14:paraId="529EADE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各突发事件应急责任部门根据实际需要建立各类应急专业人才库，聘请有关专家组成专家组。</w:t>
      </w:r>
    </w:p>
    <w:p w14:paraId="2C832BE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专家组主要职责：为突发事件应急处置、调查评估提供决策建议、咨询服务等技术支持，必要时参加突发事件应急处置工作。</w:t>
      </w:r>
    </w:p>
    <w:p w14:paraId="3F38D9D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专家组成员名单由相应的应急主管部门确定并动态更新。</w:t>
      </w:r>
    </w:p>
    <w:p w14:paraId="030B116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zh-CN" w:eastAsia="zh-CN"/>
        </w:rPr>
      </w:pPr>
      <w:bookmarkStart w:id="29" w:name="（六）区政府有关部门、突发事件所在街道办事处、村屯应急组织机构"/>
      <w:bookmarkEnd w:id="29"/>
      <w:bookmarkStart w:id="30" w:name="_Toc24487"/>
      <w:r>
        <w:rPr>
          <w:rFonts w:hint="eastAsia" w:ascii="楷体" w:hAnsi="楷体" w:eastAsia="楷体" w:cs="楷体"/>
          <w:b w:val="0"/>
          <w:bCs w:val="0"/>
          <w:color w:val="auto"/>
          <w:spacing w:val="0"/>
          <w:w w:val="100"/>
          <w:sz w:val="32"/>
          <w:szCs w:val="32"/>
          <w:lang w:val="zh-CN" w:eastAsia="zh-CN"/>
        </w:rPr>
        <w:t>（六）区政府有关部门、突发事件所在街道办事处、村屯应急组织机构</w:t>
      </w:r>
      <w:bookmarkEnd w:id="30"/>
    </w:p>
    <w:p w14:paraId="5AA6C07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区政府有关部门、各突发事件所在街道办事处、村屯要按照《黑龙江省人民政府关于印发黑龙江省突发事件应急预案管理办法的通知》的相关规定，依据本预案，结合实际情况成立由主要负责人、相关主管领导组成的突发事件应急管理领导机构，编制应急预案，做好辖区内突发事件应急管理、预警和处置工作。</w:t>
      </w:r>
    </w:p>
    <w:p w14:paraId="4A330D65">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zh-CN" w:eastAsia="zh-CN"/>
        </w:rPr>
      </w:pPr>
      <w:bookmarkStart w:id="31" w:name="（七）企事业单位应急组织机构"/>
      <w:bookmarkEnd w:id="31"/>
      <w:bookmarkStart w:id="32" w:name="_Toc18216"/>
      <w:r>
        <w:rPr>
          <w:rFonts w:hint="eastAsia" w:ascii="楷体" w:hAnsi="楷体" w:eastAsia="楷体" w:cs="楷体"/>
          <w:b w:val="0"/>
          <w:bCs w:val="0"/>
          <w:color w:val="auto"/>
          <w:spacing w:val="0"/>
          <w:w w:val="100"/>
          <w:sz w:val="32"/>
          <w:szCs w:val="32"/>
          <w:lang w:val="zh-CN" w:eastAsia="zh-CN"/>
        </w:rPr>
        <w:t>（七）企事业单位应急组织机构</w:t>
      </w:r>
      <w:bookmarkEnd w:id="32"/>
    </w:p>
    <w:p w14:paraId="2395BCF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各企事业单位应按照本单位实际制定突发事件应急预案，突发事件发生时，在做好本单位应急管理、救援工作的前提下，按照区应急指挥部的要求，组织应急队伍、</w:t>
      </w:r>
      <w:r>
        <w:rPr>
          <w:rFonts w:hint="eastAsia" w:ascii="仿宋" w:hAnsi="仿宋" w:eastAsia="仿宋" w:cs="仿宋"/>
          <w:color w:val="auto"/>
          <w:spacing w:val="0"/>
          <w:w w:val="100"/>
          <w:sz w:val="32"/>
          <w:szCs w:val="32"/>
          <w:highlight w:val="none"/>
          <w:lang w:val="en-US" w:eastAsia="zh-CN" w:bidi="zh-CN"/>
        </w:rPr>
        <w:t>调配应急</w:t>
      </w:r>
      <w:r>
        <w:rPr>
          <w:rFonts w:hint="eastAsia" w:ascii="仿宋" w:hAnsi="仿宋" w:eastAsia="仿宋" w:cs="仿宋"/>
          <w:color w:val="auto"/>
          <w:spacing w:val="0"/>
          <w:w w:val="100"/>
          <w:sz w:val="32"/>
          <w:szCs w:val="32"/>
          <w:lang w:val="zh-CN" w:eastAsia="zh-CN" w:bidi="zh-CN"/>
        </w:rPr>
        <w:t>物资参与到突发事件应急处置工作中。</w:t>
      </w:r>
    </w:p>
    <w:p w14:paraId="427E874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zh-CN" w:eastAsia="zh-CN"/>
        </w:rPr>
      </w:pPr>
      <w:bookmarkStart w:id="33" w:name="（八）社会组织和公众"/>
      <w:bookmarkEnd w:id="33"/>
      <w:bookmarkStart w:id="34" w:name="_Toc453"/>
      <w:r>
        <w:rPr>
          <w:rFonts w:hint="eastAsia" w:ascii="楷体" w:hAnsi="楷体" w:eastAsia="楷体" w:cs="楷体"/>
          <w:b w:val="0"/>
          <w:bCs w:val="0"/>
          <w:color w:val="auto"/>
          <w:spacing w:val="0"/>
          <w:w w:val="100"/>
          <w:sz w:val="32"/>
          <w:szCs w:val="32"/>
          <w:lang w:val="zh-CN" w:eastAsia="zh-CN"/>
        </w:rPr>
        <w:t>（八）社会组织和公众</w:t>
      </w:r>
      <w:bookmarkEnd w:id="34"/>
    </w:p>
    <w:p w14:paraId="0B186FD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zh-CN" w:eastAsia="zh-CN" w:bidi="zh-CN"/>
        </w:rPr>
      </w:pPr>
      <w:r>
        <w:rPr>
          <w:rFonts w:hint="eastAsia" w:ascii="仿宋" w:hAnsi="仿宋" w:eastAsia="仿宋" w:cs="仿宋"/>
          <w:color w:val="auto"/>
          <w:spacing w:val="0"/>
          <w:w w:val="100"/>
          <w:sz w:val="32"/>
          <w:szCs w:val="32"/>
          <w:lang w:val="zh-CN" w:eastAsia="zh-CN" w:bidi="zh-CN"/>
        </w:rPr>
        <w:t>社会组织和公众是突发事件应急管理的社会基础，应积极发挥其安全隐患排查与消除和突发事件预警、先期处置、信息报告、自救互救等作用。</w:t>
      </w:r>
    </w:p>
    <w:p w14:paraId="43870B5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黑体" w:hAnsi="黑体" w:eastAsia="黑体" w:cs="黑体"/>
          <w:b w:val="0"/>
          <w:bCs w:val="0"/>
          <w:color w:val="auto"/>
          <w:spacing w:val="0"/>
          <w:w w:val="100"/>
          <w:sz w:val="32"/>
          <w:lang w:val="en-US"/>
        </w:rPr>
      </w:pPr>
      <w:bookmarkStart w:id="35" w:name="_Toc32385"/>
      <w:r>
        <w:rPr>
          <w:rFonts w:hint="eastAsia" w:ascii="黑体" w:hAnsi="黑体" w:eastAsia="黑体" w:cs="黑体"/>
          <w:b w:val="0"/>
          <w:bCs w:val="0"/>
          <w:color w:val="auto"/>
          <w:spacing w:val="0"/>
          <w:w w:val="100"/>
          <w:sz w:val="32"/>
          <w:lang w:val="zh-CN" w:eastAsia="zh-CN"/>
        </w:rPr>
        <w:t>三、</w:t>
      </w:r>
      <w:r>
        <w:rPr>
          <w:rFonts w:hint="eastAsia" w:ascii="黑体" w:hAnsi="黑体" w:eastAsia="黑体" w:cs="黑体"/>
          <w:b w:val="0"/>
          <w:bCs w:val="0"/>
          <w:color w:val="auto"/>
          <w:spacing w:val="0"/>
          <w:w w:val="100"/>
          <w:sz w:val="32"/>
          <w:lang w:val="en-US" w:eastAsia="zh-CN"/>
        </w:rPr>
        <w:t>风险</w:t>
      </w:r>
      <w:r>
        <w:rPr>
          <w:rFonts w:hint="eastAsia" w:ascii="黑体" w:hAnsi="黑体" w:eastAsia="黑体" w:cs="黑体"/>
          <w:b w:val="0"/>
          <w:bCs w:val="0"/>
          <w:color w:val="auto"/>
          <w:spacing w:val="0"/>
          <w:w w:val="100"/>
          <w:sz w:val="32"/>
          <w:lang w:val="en-US"/>
        </w:rPr>
        <w:t>管控</w:t>
      </w:r>
      <w:bookmarkEnd w:id="35"/>
    </w:p>
    <w:p w14:paraId="2ECA844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按照</w:t>
      </w:r>
      <w:r>
        <w:rPr>
          <w:rFonts w:hint="eastAsia" w:ascii="仿宋" w:hAnsi="仿宋" w:eastAsia="仿宋" w:cs="仿宋"/>
          <w:color w:val="auto"/>
          <w:spacing w:val="0"/>
          <w:w w:val="100"/>
          <w:sz w:val="32"/>
          <w:szCs w:val="32"/>
          <w:lang w:val="zh-CN" w:eastAsia="zh-CN" w:bidi="zh-CN"/>
        </w:rPr>
        <w:t>“安全第一、预防为主、综合治理”的方针，通过系统性地识别、评估、控制和监控</w:t>
      </w:r>
      <w:r>
        <w:rPr>
          <w:rFonts w:hint="eastAsia" w:ascii="仿宋" w:hAnsi="仿宋" w:eastAsia="仿宋" w:cs="仿宋"/>
          <w:color w:val="auto"/>
          <w:spacing w:val="0"/>
          <w:w w:val="100"/>
          <w:sz w:val="32"/>
          <w:szCs w:val="32"/>
          <w:lang w:val="en-US" w:eastAsia="zh-CN" w:bidi="zh-CN"/>
        </w:rPr>
        <w:t>向阳区</w:t>
      </w:r>
      <w:r>
        <w:rPr>
          <w:rFonts w:hint="eastAsia" w:ascii="仿宋" w:hAnsi="仿宋" w:eastAsia="仿宋" w:cs="仿宋"/>
          <w:color w:val="auto"/>
          <w:spacing w:val="0"/>
          <w:w w:val="100"/>
          <w:sz w:val="32"/>
          <w:szCs w:val="32"/>
          <w:lang w:val="zh-CN" w:eastAsia="zh-CN" w:bidi="zh-CN"/>
        </w:rPr>
        <w:t>潜在</w:t>
      </w:r>
      <w:r>
        <w:rPr>
          <w:rFonts w:hint="eastAsia" w:ascii="仿宋" w:hAnsi="仿宋" w:eastAsia="仿宋" w:cs="仿宋"/>
          <w:color w:val="auto"/>
          <w:spacing w:val="0"/>
          <w:w w:val="100"/>
          <w:sz w:val="32"/>
          <w:szCs w:val="32"/>
          <w:lang w:val="en-US" w:eastAsia="zh-CN" w:bidi="zh-CN"/>
        </w:rPr>
        <w:t>的</w:t>
      </w:r>
      <w:r>
        <w:rPr>
          <w:rFonts w:hint="eastAsia" w:ascii="仿宋" w:hAnsi="仿宋" w:eastAsia="仿宋" w:cs="仿宋"/>
          <w:color w:val="auto"/>
          <w:spacing w:val="0"/>
          <w:w w:val="100"/>
          <w:sz w:val="32"/>
          <w:szCs w:val="32"/>
          <w:lang w:val="zh-CN" w:eastAsia="zh-CN" w:bidi="zh-CN"/>
        </w:rPr>
        <w:t>风险，最大限度地降低突发事件发生的可能性及可能造成的损失，变被动应对为主动防范。</w:t>
      </w:r>
    </w:p>
    <w:p w14:paraId="2A40C3A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rPr>
      </w:pPr>
      <w:bookmarkStart w:id="36" w:name="_Toc17092"/>
      <w:r>
        <w:rPr>
          <w:rFonts w:hint="eastAsia" w:ascii="楷体" w:hAnsi="楷体" w:eastAsia="楷体" w:cs="楷体"/>
          <w:b w:val="0"/>
          <w:bCs w:val="0"/>
          <w:color w:val="auto"/>
          <w:spacing w:val="0"/>
          <w:w w:val="100"/>
          <w:sz w:val="32"/>
          <w:szCs w:val="32"/>
          <w:lang w:val="en-US"/>
        </w:rPr>
        <w:t>（一）风险识别与评估</w:t>
      </w:r>
      <w:bookmarkEnd w:id="36"/>
    </w:p>
    <w:p w14:paraId="119E91D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1.全面风险识别：</w:t>
      </w:r>
      <w:r>
        <w:rPr>
          <w:rFonts w:hint="eastAsia" w:ascii="仿宋" w:hAnsi="仿宋" w:eastAsia="仿宋" w:cs="仿宋"/>
          <w:color w:val="auto"/>
          <w:spacing w:val="0"/>
          <w:w w:val="100"/>
          <w:sz w:val="32"/>
          <w:szCs w:val="32"/>
          <w:lang w:val="en-US" w:eastAsia="zh-CN" w:bidi="zh-CN"/>
        </w:rPr>
        <w:t>区政府组织各专项应急指挥部、有关部门和街道办事处，依据本预案总则部分对自然灾害、事故灾难、公共卫生事件和社会安全事件的分析，结合辖区人口、产业、地理、气候等特点，定期开展全面风险调查。</w:t>
      </w:r>
    </w:p>
    <w:p w14:paraId="0B4CE8F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2.识别范围：</w:t>
      </w:r>
      <w:r>
        <w:rPr>
          <w:rFonts w:hint="eastAsia" w:ascii="仿宋" w:hAnsi="仿宋" w:eastAsia="仿宋" w:cs="仿宋"/>
          <w:color w:val="auto"/>
          <w:spacing w:val="0"/>
          <w:w w:val="100"/>
          <w:sz w:val="32"/>
          <w:szCs w:val="32"/>
          <w:lang w:val="en-US" w:eastAsia="zh-CN" w:bidi="zh-CN"/>
        </w:rPr>
        <w:t>覆盖全区各行业、各领域、所有生产经营单位和社会生活各环节，重点针对高层建筑、商业综合体、交通枢纽、危险化学品单位、人员密集场所、老旧小区、城市生命线工程（供水、供电、供气、通讯）以及松花江沿岸等重点区域和薄弱环节。</w:t>
      </w:r>
    </w:p>
    <w:p w14:paraId="20918CF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3.识别方法：</w:t>
      </w:r>
      <w:r>
        <w:rPr>
          <w:rFonts w:hint="eastAsia" w:ascii="仿宋" w:hAnsi="仿宋" w:eastAsia="仿宋" w:cs="仿宋"/>
          <w:color w:val="auto"/>
          <w:spacing w:val="0"/>
          <w:w w:val="100"/>
          <w:sz w:val="32"/>
          <w:szCs w:val="32"/>
          <w:lang w:val="en-US" w:eastAsia="zh-CN" w:bidi="zh-CN"/>
        </w:rPr>
        <w:t>综合运用隐患排查、专家检查、舆情分析、案例复盘、公众反映等多种方式，动态更新风险源信息。</w:t>
      </w:r>
    </w:p>
    <w:p w14:paraId="0AD8CB2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4.科学风险评估：</w:t>
      </w:r>
      <w:r>
        <w:rPr>
          <w:rFonts w:hint="eastAsia" w:ascii="仿宋" w:hAnsi="仿宋" w:eastAsia="仿宋" w:cs="仿宋"/>
          <w:color w:val="auto"/>
          <w:spacing w:val="0"/>
          <w:w w:val="100"/>
          <w:sz w:val="32"/>
          <w:szCs w:val="32"/>
          <w:lang w:val="en-US" w:eastAsia="zh-CN" w:bidi="zh-CN"/>
        </w:rPr>
        <w:t>对识别出的风险进行分析评估，确定风险等级。</w:t>
      </w:r>
    </w:p>
    <w:p w14:paraId="39F6433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5.评估标准：</w:t>
      </w:r>
      <w:r>
        <w:rPr>
          <w:rFonts w:hint="eastAsia" w:ascii="仿宋" w:hAnsi="仿宋" w:eastAsia="仿宋" w:cs="仿宋"/>
          <w:color w:val="auto"/>
          <w:spacing w:val="0"/>
          <w:w w:val="100"/>
          <w:sz w:val="32"/>
          <w:szCs w:val="32"/>
          <w:lang w:val="en-US" w:eastAsia="zh-CN" w:bidi="zh-CN"/>
        </w:rPr>
        <w:t>采用定性与定量相结合的方法，从事件发生的可能性和后果的严重性两个维度，参照国家和行业标准，对风险进行综合研判。</w:t>
      </w:r>
    </w:p>
    <w:p w14:paraId="377DDA6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6.风险分级：</w:t>
      </w:r>
      <w:r>
        <w:rPr>
          <w:rFonts w:hint="eastAsia" w:ascii="仿宋" w:hAnsi="仿宋" w:eastAsia="仿宋" w:cs="仿宋"/>
          <w:color w:val="auto"/>
          <w:spacing w:val="0"/>
          <w:w w:val="100"/>
          <w:sz w:val="32"/>
          <w:szCs w:val="32"/>
          <w:lang w:val="en-US" w:eastAsia="zh-CN" w:bidi="zh-CN"/>
        </w:rPr>
        <w:t>根据评估结果，将风险划分为重大风险、较大风险、一般风险和低风险四个等级，并建立</w:t>
      </w:r>
      <w:r>
        <w:rPr>
          <w:rFonts w:hint="eastAsia" w:ascii="仿宋" w:hAnsi="仿宋" w:eastAsia="仿宋" w:cs="仿宋"/>
          <w:color w:val="auto"/>
          <w:spacing w:val="0"/>
          <w:w w:val="100"/>
          <w:sz w:val="32"/>
          <w:szCs w:val="32"/>
          <w:highlight w:val="none"/>
          <w:lang w:val="en-US" w:eastAsia="zh-CN" w:bidi="zh-CN"/>
        </w:rPr>
        <w:t>《向阳区突发事件风险分类分级清单》</w:t>
      </w:r>
      <w:r>
        <w:rPr>
          <w:rFonts w:hint="eastAsia" w:ascii="仿宋" w:hAnsi="仿宋" w:eastAsia="仿宋" w:cs="仿宋"/>
          <w:color w:val="auto"/>
          <w:spacing w:val="0"/>
          <w:w w:val="100"/>
          <w:sz w:val="32"/>
          <w:szCs w:val="32"/>
          <w:lang w:val="en-US" w:eastAsia="zh-CN" w:bidi="zh-CN"/>
        </w:rPr>
        <w:t>，分类分级清单由行管部门填写，作为精准施策的依据。</w:t>
      </w:r>
    </w:p>
    <w:p w14:paraId="7231063F">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rPr>
      </w:pPr>
      <w:bookmarkStart w:id="37" w:name="_Toc17920"/>
      <w:r>
        <w:rPr>
          <w:rFonts w:hint="eastAsia" w:ascii="楷体" w:hAnsi="楷体" w:eastAsia="楷体" w:cs="楷体"/>
          <w:b w:val="0"/>
          <w:bCs w:val="0"/>
          <w:color w:val="auto"/>
          <w:spacing w:val="0"/>
          <w:w w:val="100"/>
          <w:sz w:val="32"/>
          <w:szCs w:val="32"/>
          <w:lang w:val="en-US"/>
        </w:rPr>
        <w:t>（二）风险控制与治理</w:t>
      </w:r>
      <w:bookmarkEnd w:id="37"/>
      <w:r>
        <w:rPr>
          <w:rFonts w:hint="eastAsia" w:ascii="楷体" w:hAnsi="楷体" w:eastAsia="楷体" w:cs="楷体"/>
          <w:b w:val="0"/>
          <w:bCs w:val="0"/>
          <w:color w:val="auto"/>
          <w:spacing w:val="0"/>
          <w:w w:val="100"/>
          <w:sz w:val="32"/>
          <w:szCs w:val="32"/>
          <w:lang w:val="en-US"/>
        </w:rPr>
        <w:t xml:space="preserve">  </w:t>
      </w:r>
    </w:p>
    <w:p w14:paraId="5DC994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根据风险评估结果，实行风险分级管控，采取以下针对性控制措施，优先级从高到低依次为：</w:t>
      </w:r>
    </w:p>
    <w:p w14:paraId="195C58F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1.消除风险：</w:t>
      </w:r>
      <w:r>
        <w:rPr>
          <w:rFonts w:hint="eastAsia" w:ascii="仿宋" w:hAnsi="仿宋" w:eastAsia="仿宋" w:cs="仿宋"/>
          <w:color w:val="auto"/>
          <w:spacing w:val="0"/>
          <w:w w:val="100"/>
          <w:sz w:val="32"/>
          <w:szCs w:val="32"/>
          <w:lang w:val="en-US" w:eastAsia="zh-CN" w:bidi="zh-CN"/>
        </w:rPr>
        <w:t>优化城市规划布局和产业政策，从源头上消除重大风险。对无法消除的重大危险源，鼓励采用先进技术、安全防控措施等进行重点监控。</w:t>
      </w:r>
    </w:p>
    <w:p w14:paraId="06CD3BE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2.技术控制：</w:t>
      </w:r>
      <w:r>
        <w:rPr>
          <w:rFonts w:hint="eastAsia" w:ascii="仿宋" w:hAnsi="仿宋" w:eastAsia="仿宋" w:cs="仿宋"/>
          <w:color w:val="auto"/>
          <w:spacing w:val="0"/>
          <w:w w:val="100"/>
          <w:sz w:val="32"/>
          <w:szCs w:val="32"/>
          <w:lang w:val="en-US" w:eastAsia="zh-CN" w:bidi="zh-CN"/>
        </w:rPr>
        <w:t>在重点单位、重点场所和重要设施中，加强风险防范设施建设，如安装自动灭火系统、防洪排涝设施、安全监控报警装置、抗震加固结构等，提升突发事件风险的物防技防水平。</w:t>
      </w:r>
    </w:p>
    <w:p w14:paraId="0A7F7CF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3.管理控制：</w:t>
      </w:r>
      <w:r>
        <w:rPr>
          <w:rFonts w:hint="eastAsia" w:ascii="仿宋" w:hAnsi="仿宋" w:eastAsia="仿宋" w:cs="仿宋"/>
          <w:color w:val="auto"/>
          <w:spacing w:val="0"/>
          <w:w w:val="100"/>
          <w:sz w:val="32"/>
          <w:szCs w:val="32"/>
          <w:lang w:val="en-US" w:eastAsia="zh-CN" w:bidi="zh-CN"/>
        </w:rPr>
        <w:t>各行业主管部门、企事业单位和基层组织应建立健全风险安全管理制度、操作规程、流程和应急预案。</w:t>
      </w:r>
    </w:p>
    <w:p w14:paraId="57E9A8C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4.分级负责：</w:t>
      </w:r>
      <w:r>
        <w:rPr>
          <w:rFonts w:hint="eastAsia" w:ascii="仿宋" w:hAnsi="仿宋" w:eastAsia="仿宋" w:cs="仿宋"/>
          <w:color w:val="auto"/>
          <w:spacing w:val="0"/>
          <w:w w:val="100"/>
          <w:sz w:val="32"/>
          <w:szCs w:val="32"/>
          <w:lang w:val="en-US" w:eastAsia="zh-CN" w:bidi="zh-CN"/>
        </w:rPr>
        <w:t>严格落实属地管理和行业监管责任。重大风险由区政府和</w:t>
      </w:r>
      <w:r>
        <w:rPr>
          <w:rFonts w:hint="eastAsia" w:ascii="仿宋" w:hAnsi="仿宋" w:eastAsia="仿宋" w:cs="仿宋"/>
          <w:color w:val="auto"/>
          <w:spacing w:val="0"/>
          <w:w w:val="100"/>
          <w:sz w:val="32"/>
          <w:szCs w:val="32"/>
          <w:highlight w:val="none"/>
          <w:lang w:val="en-US" w:eastAsia="zh-CN" w:bidi="zh-CN"/>
        </w:rPr>
        <w:t>区行业</w:t>
      </w:r>
      <w:r>
        <w:rPr>
          <w:rFonts w:hint="eastAsia" w:ascii="仿宋" w:hAnsi="仿宋" w:eastAsia="仿宋" w:cs="仿宋"/>
          <w:color w:val="auto"/>
          <w:spacing w:val="0"/>
          <w:w w:val="100"/>
          <w:sz w:val="32"/>
          <w:szCs w:val="32"/>
          <w:lang w:val="en-US" w:eastAsia="zh-CN" w:bidi="zh-CN"/>
        </w:rPr>
        <w:t>主管部门重点管控；较大及一般风险由各街道办事处、村屯发现后上报，由相关部门负责监管，各街道、村屯负责配合相关部门做好问题处置或临时性处置措施，跟踪后期整改，对整改不到位或拒不整改的配合相关部门联合执法；企事业单位落实风险管控主体责任，管控本单位风险。</w:t>
      </w:r>
    </w:p>
    <w:p w14:paraId="39FBE79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5.隐患排查：</w:t>
      </w:r>
      <w:r>
        <w:rPr>
          <w:rFonts w:hint="eastAsia" w:ascii="仿宋" w:hAnsi="仿宋" w:eastAsia="仿宋" w:cs="仿宋"/>
          <w:color w:val="auto"/>
          <w:spacing w:val="0"/>
          <w:w w:val="100"/>
          <w:sz w:val="32"/>
          <w:szCs w:val="32"/>
          <w:lang w:val="en-US" w:eastAsia="zh-CN" w:bidi="zh-CN"/>
        </w:rPr>
        <w:t>建立常态化风险隐患排查治理机制，对发现的隐患建立台账，明确责任，限期整改，实现闭环管理。</w:t>
      </w:r>
    </w:p>
    <w:p w14:paraId="0FEFEF1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6.应急准备：</w:t>
      </w:r>
      <w:r>
        <w:rPr>
          <w:rFonts w:hint="eastAsia" w:ascii="仿宋" w:hAnsi="仿宋" w:eastAsia="仿宋" w:cs="仿宋"/>
          <w:color w:val="auto"/>
          <w:spacing w:val="0"/>
          <w:w w:val="100"/>
          <w:sz w:val="32"/>
          <w:szCs w:val="32"/>
          <w:lang w:val="en-US" w:eastAsia="zh-CN" w:bidi="zh-CN"/>
        </w:rPr>
        <w:t>对于无法彻底消除的风险，通过编制应急预案、储备应急物资、加强应急演练、建设应急队伍等措施，做好应急准备，降低事件发生后的损失。</w:t>
      </w:r>
    </w:p>
    <w:p w14:paraId="02B3DC1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7.宣传与培训：</w:t>
      </w:r>
      <w:r>
        <w:rPr>
          <w:rFonts w:hint="eastAsia" w:ascii="仿宋" w:hAnsi="仿宋" w:eastAsia="仿宋" w:cs="仿宋"/>
          <w:color w:val="auto"/>
          <w:spacing w:val="0"/>
          <w:w w:val="100"/>
          <w:sz w:val="32"/>
          <w:szCs w:val="32"/>
          <w:lang w:val="en-US" w:eastAsia="zh-CN" w:bidi="zh-CN"/>
        </w:rPr>
        <w:t>加强公共安全宣传教育，普及风险防范、避险逃生、自救互救知识和技能，提高全社会风险意识和应对能力。</w:t>
      </w:r>
    </w:p>
    <w:p w14:paraId="490E06B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rPr>
      </w:pPr>
      <w:bookmarkStart w:id="38" w:name="_Toc3567"/>
      <w:r>
        <w:rPr>
          <w:rFonts w:hint="eastAsia" w:ascii="楷体" w:hAnsi="楷体" w:eastAsia="楷体" w:cs="楷体"/>
          <w:b w:val="0"/>
          <w:bCs w:val="0"/>
          <w:color w:val="auto"/>
          <w:spacing w:val="0"/>
          <w:w w:val="100"/>
          <w:sz w:val="32"/>
          <w:szCs w:val="32"/>
          <w:lang w:val="en-US"/>
        </w:rPr>
        <w:t>（三）监控与更新</w:t>
      </w:r>
      <w:bookmarkEnd w:id="38"/>
    </w:p>
    <w:p w14:paraId="3A24571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1.动态监测：</w:t>
      </w:r>
      <w:r>
        <w:rPr>
          <w:rFonts w:hint="eastAsia" w:ascii="仿宋" w:hAnsi="仿宋" w:eastAsia="仿宋" w:cs="仿宋"/>
          <w:color w:val="auto"/>
          <w:spacing w:val="0"/>
          <w:w w:val="100"/>
          <w:sz w:val="32"/>
          <w:szCs w:val="32"/>
          <w:lang w:val="en-US" w:eastAsia="zh-CN" w:bidi="zh-CN"/>
        </w:rPr>
        <w:t>利用物联网、大数据等现代信息技术，对重大风险和重点危险源进行动态监测和跟踪。各有关部门和街道办事处、村屯应定期对职责范围内的风险管控措施落实情况进行监督检查。</w:t>
      </w:r>
    </w:p>
    <w:p w14:paraId="1F2E48E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2.定期评审：</w:t>
      </w:r>
      <w:r>
        <w:rPr>
          <w:rFonts w:hint="eastAsia" w:ascii="仿宋" w:hAnsi="仿宋" w:eastAsia="仿宋" w:cs="仿宋"/>
          <w:color w:val="auto"/>
          <w:spacing w:val="0"/>
          <w:w w:val="100"/>
          <w:sz w:val="32"/>
          <w:szCs w:val="32"/>
          <w:lang w:val="en-US" w:eastAsia="zh-CN" w:bidi="zh-CN"/>
        </w:rPr>
        <w:t>建立风险动态评估机制。区政府定期组织全区风险形势分析会商。当出现法律法规变化、城市规划调整、产业结构升级、重要设施建设等情形时，应及时组织重新评估，更新风险清单与管控措施。</w:t>
      </w:r>
    </w:p>
    <w:p w14:paraId="4DAF9232">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黑体" w:hAnsi="黑体" w:eastAsia="黑体" w:cs="黑体"/>
          <w:b w:val="0"/>
          <w:bCs w:val="0"/>
          <w:color w:val="auto"/>
          <w:spacing w:val="0"/>
          <w:w w:val="100"/>
          <w:sz w:val="32"/>
          <w:lang w:val="en-US"/>
        </w:rPr>
      </w:pPr>
      <w:bookmarkStart w:id="39" w:name="_Toc15404"/>
      <w:r>
        <w:rPr>
          <w:rFonts w:hint="eastAsia" w:ascii="黑体" w:hAnsi="黑体" w:eastAsia="黑体" w:cs="黑体"/>
          <w:b w:val="0"/>
          <w:bCs w:val="0"/>
          <w:color w:val="auto"/>
          <w:spacing w:val="0"/>
          <w:w w:val="100"/>
          <w:sz w:val="32"/>
          <w:lang w:val="en-US"/>
        </w:rPr>
        <w:t>四</w:t>
      </w:r>
      <w:r>
        <w:rPr>
          <w:rFonts w:hint="eastAsia" w:ascii="黑体" w:hAnsi="黑体" w:eastAsia="黑体" w:cs="黑体"/>
          <w:b w:val="0"/>
          <w:bCs w:val="0"/>
          <w:color w:val="auto"/>
          <w:spacing w:val="0"/>
          <w:w w:val="100"/>
          <w:sz w:val="32"/>
        </w:rPr>
        <w:t>、</w:t>
      </w:r>
      <w:r>
        <w:rPr>
          <w:rFonts w:hint="eastAsia" w:ascii="黑体" w:hAnsi="黑体" w:eastAsia="黑体" w:cs="黑体"/>
          <w:b w:val="0"/>
          <w:bCs w:val="0"/>
          <w:color w:val="auto"/>
          <w:spacing w:val="0"/>
          <w:w w:val="100"/>
          <w:sz w:val="32"/>
          <w:lang w:val="en-US"/>
        </w:rPr>
        <w:t>监测预警</w:t>
      </w:r>
      <w:bookmarkEnd w:id="39"/>
    </w:p>
    <w:p w14:paraId="63885E8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区政府有关部门要完善应急处置各项工作制度，建立健全应急处置快速反应机制，提高应急处置能力。</w:t>
      </w:r>
      <w:bookmarkStart w:id="40" w:name="（一）预防"/>
      <w:bookmarkEnd w:id="40"/>
    </w:p>
    <w:p w14:paraId="01A057FD">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41" w:name="_Toc28295"/>
      <w:r>
        <w:rPr>
          <w:rFonts w:hint="eastAsia" w:ascii="楷体" w:hAnsi="楷体" w:eastAsia="楷体" w:cs="楷体"/>
          <w:b w:val="0"/>
          <w:bCs w:val="0"/>
          <w:color w:val="auto"/>
          <w:spacing w:val="0"/>
          <w:w w:val="100"/>
          <w:sz w:val="32"/>
          <w:szCs w:val="32"/>
        </w:rPr>
        <w:t>（一）预防</w:t>
      </w:r>
      <w:bookmarkEnd w:id="41"/>
    </w:p>
    <w:p w14:paraId="7F5C35A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（1）风险防范与基层治理</w:t>
      </w:r>
    </w:p>
    <w:p w14:paraId="0F84844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政府有关部门要充分考虑土地、人口、资源、环境、自然灾害和公共安全等因素，防范、化解突发事件风险，统筹安排应对突发事件必需的基础设施、物资设备和人力资源，实现统筹规划、合理布局、综合利用、同步实施，努力提高全区综合防灾减灾能力。</w:t>
      </w:r>
    </w:p>
    <w:p w14:paraId="69D411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重要基础设施、重要防护单位、公共服务场所、居住小区、人员密集场所、应急避难场所等应当科学选址、优化布局，增强防灾抗灾能力。运营与维护单位应建立完善日常安全管理制度。有关部门要加强风险监督检查。</w:t>
      </w:r>
    </w:p>
    <w:p w14:paraId="07A01252">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1.政府有关部门要做好突发事件隐患排查和风险评估工作，健全公共安全信息通报机制，及时采取有效措施，减少和避免突发事件的发生，减轻突发事件危害，提高应对能力。</w:t>
      </w:r>
    </w:p>
    <w:p w14:paraId="22EB9667">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2.各部门要对本行政区域内容易引发特别重大、重大突发事件的危险源、危险区域进行调查、登记、风险评估，组织检查、监控，监督有关单位做好安全防范措施。</w:t>
      </w:r>
    </w:p>
    <w:p w14:paraId="42F5B340">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各基层组织、企事业单位要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按规定及时向区政府或有关部门报告。</w:t>
      </w:r>
    </w:p>
    <w:p w14:paraId="66EA832D">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4.建筑施工单位和易燃易爆物品、危险化学品经营、储运、使用单位，应制定具体应急预案，并对生产经营场所、有危险物品的建筑物、构筑物及周边环境开展隐患排查，及时采取措施消除隐患，防止发生突发事件。</w:t>
      </w:r>
    </w:p>
    <w:p w14:paraId="4DB748E3">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5.公共交通工具、公共场所和其他人员密集场所的经营单位或者管理单位应制定具体应急预案，为交通工具和有关场所配备报警装置和必要的应急救援设备、设施，注明其使用方法，并显著标明安全撤离的通道、路线，保证安全通道、出口的畅通。有关单位应定期检测、维护公共交通工具、公共场所和其他人员密集场所的报警装置和应急救援设备、设施，使其处于良好状态，确保正常使用。</w:t>
      </w:r>
    </w:p>
    <w:p w14:paraId="0B7409C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（2）预案制定与修编</w:t>
      </w:r>
    </w:p>
    <w:p w14:paraId="7DA6EA0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政府有关部门、企事业单位等按规定应当制定突发事件应急预案的单位，应按职责做好突发事件日常预防工作，根据本预案及相关法律法规的规定、结合本单位实际制定应急预案，并按规定及时组织演练、修订、备案。</w:t>
      </w:r>
    </w:p>
    <w:p w14:paraId="076E1D1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（3）重大活动的预防措施</w:t>
      </w:r>
    </w:p>
    <w:p w14:paraId="265EB487">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1.在国家、省、市、区重大活动期间，政府有关部门要加强公共安全监测和分析研判，及时预警可能造成重大影响的风险和隐患，加强突发事件的预警监测。</w:t>
      </w:r>
    </w:p>
    <w:p w14:paraId="1A406939">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2.重大活动的承办或协办部门（单位）、重点部门（单位）、重点岗位要保持人员24小时值班，及时发现和处置突发事件隐患。</w:t>
      </w:r>
    </w:p>
    <w:p w14:paraId="341182CE">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42" w:name="（二）监测"/>
      <w:bookmarkEnd w:id="42"/>
      <w:bookmarkStart w:id="43" w:name="_Toc29361"/>
      <w:r>
        <w:rPr>
          <w:rFonts w:hint="eastAsia" w:ascii="楷体" w:hAnsi="楷体" w:eastAsia="楷体" w:cs="楷体"/>
          <w:b w:val="0"/>
          <w:bCs w:val="0"/>
          <w:color w:val="auto"/>
          <w:spacing w:val="0"/>
          <w:w w:val="100"/>
          <w:sz w:val="32"/>
          <w:szCs w:val="32"/>
        </w:rPr>
        <w:t>（二）监测</w:t>
      </w:r>
      <w:bookmarkEnd w:id="43"/>
    </w:p>
    <w:p w14:paraId="1ED3DD2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rPr>
        <w:t>政府有关部门要做好对各类突发事件的监测、预测工作，整合监测预测资源，应用（移动）互联网和物联网技术、大数据和云计算技术等现代信息科学技术，依托公共数据共享平台、电子政务网及相关网络形成覆盖全区的信息监测预警网络系统，加强重点目标和重点区域的远程监控、预警。</w:t>
      </w:r>
    </w:p>
    <w:p w14:paraId="40D8ADA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44" w:name="（三）预警"/>
      <w:bookmarkEnd w:id="44"/>
      <w:bookmarkStart w:id="45" w:name="_Toc23860"/>
      <w:r>
        <w:rPr>
          <w:rFonts w:hint="eastAsia" w:ascii="楷体" w:hAnsi="楷体" w:eastAsia="楷体" w:cs="楷体"/>
          <w:b w:val="0"/>
          <w:bCs w:val="0"/>
          <w:color w:val="auto"/>
          <w:spacing w:val="0"/>
          <w:w w:val="100"/>
          <w:sz w:val="32"/>
          <w:szCs w:val="32"/>
        </w:rPr>
        <w:t>（三）预警</w:t>
      </w:r>
      <w:bookmarkEnd w:id="45"/>
    </w:p>
    <w:p w14:paraId="538A191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rPr>
        <w:t>预警信息范围包括发生或者可能发生、造成或者可能造成严重社会危害且可以预警、可以公开发布的自然灾害、事故灾难、公共卫生、社会安全等事件信息。</w:t>
      </w:r>
    </w:p>
    <w:p w14:paraId="73F136C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（1）预警系统</w:t>
      </w:r>
    </w:p>
    <w:p w14:paraId="07CF960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rPr>
        <w:t>政府有关部门、企事业单位对各类突发事件的预警信息，要完善人工、自动报告程序，形成严密有效的预警系统。</w:t>
      </w:r>
    </w:p>
    <w:p w14:paraId="41BBA90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（2）预警级别</w:t>
      </w:r>
    </w:p>
    <w:p w14:paraId="574FDEC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rPr>
        <w:t>可以预警的自然灾害、事故灾难、公共卫生事件和社会安全事件的预警级别，按照突发事件的紧急程度、发展势态和可能造成的危害程度分为特别严重、严重、较重和一般四个等级，依次用红色、橙色、黄色和蓝色表示。</w:t>
      </w:r>
    </w:p>
    <w:p w14:paraId="2E239BA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（3）预警发布</w:t>
      </w:r>
    </w:p>
    <w:p w14:paraId="2717BB40">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1.</w:t>
      </w:r>
      <w:r>
        <w:rPr>
          <w:rFonts w:hint="eastAsia" w:ascii="仿宋" w:hAnsi="仿宋" w:eastAsia="仿宋" w:cs="仿宋"/>
          <w:color w:val="auto"/>
          <w:spacing w:val="0"/>
          <w:w w:val="100"/>
          <w:sz w:val="32"/>
          <w:szCs w:val="32"/>
          <w:lang w:val="en-US"/>
        </w:rPr>
        <w:t>区政府有关部门、各突发事件所在街道办事处、村屯接收或者发现的预警信息，应及时报告区突发事件应急救援指挥部办公室，由指挥部办公室上报区政府。</w:t>
      </w:r>
    </w:p>
    <w:p w14:paraId="54774EB4">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2.</w:t>
      </w:r>
      <w:r>
        <w:rPr>
          <w:rFonts w:hint="eastAsia" w:ascii="仿宋" w:hAnsi="仿宋" w:eastAsia="仿宋" w:cs="仿宋"/>
          <w:color w:val="auto"/>
          <w:spacing w:val="0"/>
          <w:w w:val="100"/>
          <w:sz w:val="32"/>
          <w:szCs w:val="32"/>
          <w:lang w:val="en-US"/>
        </w:rPr>
        <w:t>区政府组织突发事件应急责任部门及专家分析评估突发事件发生的可能性，确定预警级别，经批准后发布。</w:t>
      </w:r>
    </w:p>
    <w:p w14:paraId="00134209">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3.</w:t>
      </w:r>
      <w:r>
        <w:rPr>
          <w:rFonts w:hint="eastAsia" w:ascii="仿宋" w:hAnsi="仿宋" w:eastAsia="仿宋" w:cs="仿宋"/>
          <w:color w:val="auto"/>
          <w:spacing w:val="0"/>
          <w:w w:val="100"/>
          <w:sz w:val="32"/>
          <w:szCs w:val="32"/>
          <w:lang w:val="en-US"/>
        </w:rPr>
        <w:t>预警信息发布主体为区政府。</w:t>
      </w:r>
    </w:p>
    <w:p w14:paraId="7DD9034C">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4.</w:t>
      </w:r>
      <w:r>
        <w:rPr>
          <w:rFonts w:hint="eastAsia" w:ascii="仿宋" w:hAnsi="仿宋" w:eastAsia="仿宋" w:cs="仿宋"/>
          <w:color w:val="auto"/>
          <w:spacing w:val="0"/>
          <w:w w:val="100"/>
          <w:sz w:val="32"/>
          <w:szCs w:val="32"/>
          <w:lang w:val="en-US"/>
        </w:rPr>
        <w:t>预警信息的发布、调整和解除，可通过互联网、电视、电台、显示屏和移动通信网络、警报器、宣传车、大喇叭或组织人员逐户通知等方式，向本区范围内可能遭受突发事件影响的企事业单位、居民进行预警信息发布，提供防御应对指南。</w:t>
      </w:r>
    </w:p>
    <w:p w14:paraId="09606503">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5.</w:t>
      </w:r>
      <w:r>
        <w:rPr>
          <w:rFonts w:hint="eastAsia" w:ascii="仿宋" w:hAnsi="仿宋" w:eastAsia="仿宋" w:cs="仿宋"/>
          <w:color w:val="auto"/>
          <w:spacing w:val="0"/>
          <w:w w:val="100"/>
          <w:sz w:val="32"/>
          <w:szCs w:val="32"/>
          <w:lang w:val="en-US"/>
        </w:rPr>
        <w:t>对老、幼、病、残、孕等特殊人群以及学校等特殊场所和警报盲区应采取有针对性的公告方式，并予以帮助。</w:t>
      </w:r>
    </w:p>
    <w:p w14:paraId="520FE2A7">
      <w:pPr>
        <w:pStyle w:val="16"/>
        <w:keepNext w:val="0"/>
        <w:keepLines w:val="0"/>
        <w:pageBreakBefore w:val="0"/>
        <w:widowControl w:val="0"/>
        <w:numPr>
          <w:ilvl w:val="0"/>
          <w:numId w:val="0"/>
        </w:numPr>
        <w:tabs>
          <w:tab w:val="left" w:pos="1327"/>
        </w:tabs>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6.</w:t>
      </w:r>
      <w:r>
        <w:rPr>
          <w:rFonts w:hint="eastAsia" w:ascii="仿宋" w:hAnsi="仿宋" w:eastAsia="仿宋" w:cs="仿宋"/>
          <w:color w:val="auto"/>
          <w:spacing w:val="0"/>
          <w:w w:val="100"/>
          <w:sz w:val="32"/>
          <w:szCs w:val="32"/>
          <w:lang w:val="en-US"/>
        </w:rPr>
        <w:t>预警信息内容要求准确、简练，包括发布主体、发布时间、事件类别、起始时间、影响范围、预警级别、警示措施、事态发展、咨询电话等。</w:t>
      </w:r>
    </w:p>
    <w:p w14:paraId="4677143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（4）预警响应</w:t>
      </w:r>
    </w:p>
    <w:p w14:paraId="46FDA774">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highlight w:val="none"/>
          <w:lang w:val="en-US"/>
        </w:rPr>
      </w:pPr>
      <w:r>
        <w:rPr>
          <w:rFonts w:hint="eastAsia" w:ascii="仿宋" w:hAnsi="仿宋" w:eastAsia="仿宋" w:cs="仿宋"/>
          <w:color w:val="auto"/>
          <w:spacing w:val="0"/>
          <w:w w:val="100"/>
          <w:sz w:val="32"/>
          <w:szCs w:val="32"/>
          <w:highlight w:val="none"/>
          <w:lang w:val="en-US" w:eastAsia="zh-CN"/>
        </w:rPr>
        <w:t>1.</w:t>
      </w:r>
      <w:r>
        <w:rPr>
          <w:rFonts w:hint="eastAsia" w:ascii="仿宋" w:hAnsi="仿宋" w:eastAsia="仿宋" w:cs="仿宋"/>
          <w:color w:val="auto"/>
          <w:spacing w:val="0"/>
          <w:w w:val="100"/>
          <w:sz w:val="32"/>
          <w:szCs w:val="32"/>
          <w:highlight w:val="none"/>
          <w:lang w:val="en-US"/>
        </w:rPr>
        <w:t>发布黄色、蓝色预警，宣布进入预警期后，区应急指挥部根据即将发生的突发事件的特点和可能造成的危害，采取下列措施：</w:t>
      </w:r>
    </w:p>
    <w:p w14:paraId="7CD66E26">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①</w:t>
      </w:r>
      <w:r>
        <w:rPr>
          <w:rFonts w:hint="eastAsia" w:ascii="仿宋" w:hAnsi="仿宋" w:eastAsia="仿宋" w:cs="仿宋"/>
          <w:color w:val="auto"/>
          <w:spacing w:val="0"/>
          <w:w w:val="100"/>
          <w:sz w:val="32"/>
          <w:szCs w:val="32"/>
          <w:lang w:val="en-US"/>
        </w:rPr>
        <w:t>责令有关部门、专业机构、监测网点和负有特定职责的人员及时收集、报告有关信息，随时准备启动突发事件相应的应急预案；向社会公布反映突发事件信息的渠道，加强对突发事件发生、发展情况的监测、预报和预警工作；</w:t>
      </w:r>
    </w:p>
    <w:p w14:paraId="098DE4A0">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②</w:t>
      </w:r>
      <w:r>
        <w:rPr>
          <w:rFonts w:hint="eastAsia" w:ascii="仿宋" w:hAnsi="仿宋" w:eastAsia="仿宋" w:cs="仿宋"/>
          <w:color w:val="auto"/>
          <w:spacing w:val="0"/>
          <w:w w:val="100"/>
          <w:sz w:val="32"/>
          <w:szCs w:val="32"/>
          <w:lang w:val="en-US"/>
        </w:rPr>
        <w:t>组织有关部门和机构、专业技术人员、有关专家对突发事件信息进行分析评估，预测发生突发事件可能性的大小、影响范围、强度以及可能发生的突发事件的级别；</w:t>
      </w:r>
    </w:p>
    <w:p w14:paraId="3E063034">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③</w:t>
      </w:r>
      <w:r>
        <w:rPr>
          <w:rFonts w:hint="eastAsia" w:ascii="仿宋" w:hAnsi="仿宋" w:eastAsia="仿宋" w:cs="仿宋"/>
          <w:color w:val="auto"/>
          <w:spacing w:val="0"/>
          <w:w w:val="100"/>
          <w:sz w:val="32"/>
          <w:szCs w:val="32"/>
          <w:lang w:val="en-US"/>
        </w:rPr>
        <w:t>定时向社会发布与公众有关的突发事件预测信息和分析评估结果，并对相关信息的报道工作进行管理；</w:t>
      </w:r>
    </w:p>
    <w:p w14:paraId="31F2D7DE">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④</w:t>
      </w:r>
      <w:r>
        <w:rPr>
          <w:rFonts w:hint="eastAsia" w:ascii="仿宋" w:hAnsi="仿宋" w:eastAsia="仿宋" w:cs="仿宋"/>
          <w:color w:val="auto"/>
          <w:spacing w:val="0"/>
          <w:w w:val="100"/>
          <w:sz w:val="32"/>
          <w:szCs w:val="32"/>
          <w:lang w:val="en-US"/>
        </w:rPr>
        <w:t>及时向社会发布可能受到突发事件危害的警告，宣传避免、减轻危害的常识，公布咨询电话。</w:t>
      </w:r>
    </w:p>
    <w:p w14:paraId="3EC56817">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2.</w:t>
      </w:r>
      <w:r>
        <w:rPr>
          <w:rFonts w:hint="eastAsia" w:ascii="仿宋" w:hAnsi="仿宋" w:eastAsia="仿宋" w:cs="仿宋"/>
          <w:color w:val="auto"/>
          <w:spacing w:val="0"/>
          <w:w w:val="100"/>
          <w:sz w:val="32"/>
          <w:szCs w:val="32"/>
          <w:lang w:val="en-US"/>
        </w:rPr>
        <w:t>发布橙色、红色预警，宣布进入预警期后，区应急指挥部除采取上述规定的相关措施外，还应当针对即将发生的突发事件的特点和可能造成的危害，采取下列一项或者多项措施：</w:t>
      </w:r>
    </w:p>
    <w:p w14:paraId="630A72C2">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①</w:t>
      </w:r>
      <w:r>
        <w:rPr>
          <w:rFonts w:hint="eastAsia" w:ascii="仿宋" w:hAnsi="仿宋" w:eastAsia="仿宋" w:cs="仿宋"/>
          <w:color w:val="auto"/>
          <w:spacing w:val="0"/>
          <w:w w:val="100"/>
          <w:sz w:val="32"/>
          <w:szCs w:val="32"/>
        </w:rPr>
        <w:t>责令应急救援队伍、负有特定职责的人员赶赴现场，随时准备听从应急指挥部的指挥参加救援，并动员后备人员做好参加应急救援和处置工作的准备；</w:t>
      </w:r>
    </w:p>
    <w:p w14:paraId="64854613">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②</w:t>
      </w:r>
      <w:r>
        <w:rPr>
          <w:rFonts w:hint="eastAsia" w:ascii="仿宋" w:hAnsi="仿宋" w:eastAsia="仿宋" w:cs="仿宋"/>
          <w:color w:val="auto"/>
          <w:spacing w:val="0"/>
          <w:w w:val="100"/>
          <w:sz w:val="32"/>
          <w:szCs w:val="32"/>
        </w:rPr>
        <w:t>调集应急救援所需物资、设备、工具，准备应急设施和避难场所，并确保其处于良好状态、随时可以投入正常使用；</w:t>
      </w:r>
    </w:p>
    <w:p w14:paraId="75658CB6">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③</w:t>
      </w:r>
      <w:r>
        <w:rPr>
          <w:rFonts w:hint="eastAsia" w:ascii="仿宋" w:hAnsi="仿宋" w:eastAsia="仿宋" w:cs="仿宋"/>
          <w:color w:val="auto"/>
          <w:spacing w:val="0"/>
          <w:w w:val="100"/>
          <w:sz w:val="32"/>
          <w:szCs w:val="32"/>
        </w:rPr>
        <w:t>加强对重点单位、重要部位和重要基础设施的安全保卫，维护社会治安秩序；</w:t>
      </w:r>
    </w:p>
    <w:p w14:paraId="1456E614">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④</w:t>
      </w:r>
      <w:r>
        <w:rPr>
          <w:rFonts w:hint="eastAsia" w:ascii="仿宋" w:hAnsi="仿宋" w:eastAsia="仿宋" w:cs="仿宋"/>
          <w:color w:val="auto"/>
          <w:spacing w:val="0"/>
          <w:w w:val="100"/>
          <w:sz w:val="32"/>
          <w:szCs w:val="32"/>
        </w:rPr>
        <w:t>采取必要措施，确保交通、通信、供水、排水、供电、供气、供热等公共设施的安全和正常运行；</w:t>
      </w:r>
    </w:p>
    <w:p w14:paraId="413E1CE8">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宋体" w:hAnsi="宋体" w:eastAsia="宋体" w:cs="宋体"/>
          <w:color w:val="auto"/>
          <w:spacing w:val="0"/>
          <w:w w:val="100"/>
          <w:sz w:val="32"/>
          <w:szCs w:val="32"/>
          <w:lang w:val="en-US" w:eastAsia="zh-CN"/>
        </w:rPr>
        <w:t>⑤</w:t>
      </w:r>
      <w:r>
        <w:rPr>
          <w:rFonts w:hint="eastAsia" w:ascii="仿宋" w:hAnsi="仿宋" w:eastAsia="仿宋" w:cs="仿宋"/>
          <w:color w:val="auto"/>
          <w:spacing w:val="0"/>
          <w:w w:val="100"/>
          <w:sz w:val="32"/>
          <w:szCs w:val="32"/>
        </w:rPr>
        <w:t>及时向社会发布有关采取特定措施避免或者减轻危害的建议、劝告；</w:t>
      </w:r>
    </w:p>
    <w:p w14:paraId="0DEA2C75">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宋体" w:hAnsi="宋体" w:eastAsia="宋体" w:cs="宋体"/>
          <w:color w:val="auto"/>
          <w:spacing w:val="0"/>
          <w:w w:val="100"/>
          <w:sz w:val="32"/>
          <w:szCs w:val="32"/>
          <w:lang w:val="en-US" w:eastAsia="zh-CN"/>
        </w:rPr>
        <w:t>⑥</w:t>
      </w:r>
      <w:r>
        <w:rPr>
          <w:rFonts w:hint="eastAsia" w:ascii="仿宋" w:hAnsi="仿宋" w:eastAsia="仿宋" w:cs="仿宋"/>
          <w:color w:val="auto"/>
          <w:spacing w:val="0"/>
          <w:w w:val="100"/>
          <w:sz w:val="32"/>
          <w:szCs w:val="32"/>
        </w:rPr>
        <w:t>转移、疏散或者撤离易受突发事件危害的人员并予以妥善安置，转移重要财产；关闭或者限制使用易受突发事件危害的场所，控制或者限制容易导致危害扩大的公共场所的活动；</w:t>
      </w:r>
    </w:p>
    <w:p w14:paraId="704FE8C7">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⑦</w:t>
      </w:r>
      <w:r>
        <w:rPr>
          <w:rFonts w:hint="eastAsia" w:ascii="仿宋" w:hAnsi="仿宋" w:eastAsia="仿宋" w:cs="仿宋"/>
          <w:color w:val="auto"/>
          <w:spacing w:val="0"/>
          <w:w w:val="100"/>
          <w:sz w:val="32"/>
          <w:szCs w:val="32"/>
        </w:rPr>
        <w:t>其他必要的防范性、保护性措施。</w:t>
      </w:r>
    </w:p>
    <w:p w14:paraId="776CD4BA">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lang w:val="en-US" w:eastAsia="zh-CN"/>
        </w:rPr>
        <w:t>3.</w:t>
      </w:r>
      <w:r>
        <w:rPr>
          <w:rFonts w:hint="eastAsia" w:ascii="仿宋" w:hAnsi="仿宋" w:eastAsia="仿宋" w:cs="仿宋"/>
          <w:color w:val="auto"/>
          <w:spacing w:val="0"/>
          <w:w w:val="100"/>
          <w:sz w:val="32"/>
          <w:szCs w:val="32"/>
        </w:rPr>
        <w:t>对即将发生或者已经发生的社会安全事件，区应急指挥部及有关主管部门应当按照规定向市人民政府及有关主管部门报告，必要时可以越级上报。</w:t>
      </w:r>
    </w:p>
    <w:p w14:paraId="2529EA5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5.预警调整与解除</w:t>
      </w:r>
    </w:p>
    <w:p w14:paraId="5410E94B">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rPr>
      </w:pPr>
      <w:r>
        <w:rPr>
          <w:rFonts w:hint="eastAsia" w:ascii="仿宋" w:hAnsi="仿宋" w:eastAsia="仿宋" w:cs="仿宋"/>
          <w:color w:val="auto"/>
          <w:spacing w:val="0"/>
          <w:w w:val="100"/>
          <w:sz w:val="32"/>
          <w:szCs w:val="32"/>
        </w:rPr>
        <w:t>突发事件已经发生级别变化的，</w:t>
      </w:r>
      <w:r>
        <w:rPr>
          <w:rFonts w:hint="eastAsia" w:ascii="仿宋" w:hAnsi="仿宋" w:eastAsia="仿宋" w:cs="仿宋"/>
          <w:color w:val="auto"/>
          <w:spacing w:val="0"/>
          <w:w w:val="100"/>
          <w:sz w:val="32"/>
          <w:szCs w:val="32"/>
          <w:lang w:val="en-US"/>
        </w:rPr>
        <w:t>由</w:t>
      </w:r>
      <w:r>
        <w:rPr>
          <w:rFonts w:hint="eastAsia" w:ascii="仿宋" w:hAnsi="仿宋" w:eastAsia="仿宋" w:cs="仿宋"/>
          <w:color w:val="auto"/>
          <w:spacing w:val="0"/>
          <w:w w:val="100"/>
          <w:sz w:val="32"/>
          <w:szCs w:val="32"/>
        </w:rPr>
        <w:t>发布预警的政府或授权部门宣布预警调整；突发事件已不可能发生时，应及时解除预警。</w:t>
      </w:r>
    </w:p>
    <w:p w14:paraId="27D2D796">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黑体" w:hAnsi="黑体" w:eastAsia="黑体" w:cs="黑体"/>
          <w:b w:val="0"/>
          <w:bCs w:val="0"/>
          <w:color w:val="auto"/>
          <w:spacing w:val="0"/>
          <w:w w:val="100"/>
          <w:sz w:val="32"/>
          <w:lang w:val="en-US"/>
        </w:rPr>
      </w:pPr>
      <w:bookmarkStart w:id="46" w:name="四、应急响应"/>
      <w:bookmarkEnd w:id="46"/>
      <w:bookmarkStart w:id="47" w:name="_Toc7833"/>
      <w:r>
        <w:rPr>
          <w:rFonts w:hint="eastAsia" w:ascii="黑体" w:hAnsi="黑体" w:eastAsia="黑体" w:cs="黑体"/>
          <w:b w:val="0"/>
          <w:bCs w:val="0"/>
          <w:color w:val="auto"/>
          <w:spacing w:val="0"/>
          <w:w w:val="100"/>
          <w:sz w:val="32"/>
          <w:lang w:val="en-US"/>
        </w:rPr>
        <w:t>五</w:t>
      </w:r>
      <w:r>
        <w:rPr>
          <w:rFonts w:hint="eastAsia" w:ascii="黑体" w:hAnsi="黑体" w:eastAsia="黑体" w:cs="黑体"/>
          <w:b w:val="0"/>
          <w:bCs w:val="0"/>
          <w:color w:val="auto"/>
          <w:spacing w:val="0"/>
          <w:w w:val="100"/>
          <w:sz w:val="32"/>
        </w:rPr>
        <w:t>、</w:t>
      </w:r>
      <w:r>
        <w:rPr>
          <w:rFonts w:hint="eastAsia" w:ascii="黑体" w:hAnsi="黑体" w:eastAsia="黑体" w:cs="黑体"/>
          <w:b w:val="0"/>
          <w:bCs w:val="0"/>
          <w:color w:val="auto"/>
          <w:spacing w:val="0"/>
          <w:w w:val="100"/>
          <w:sz w:val="32"/>
          <w:lang w:val="en-US"/>
        </w:rPr>
        <w:t>处置救援</w:t>
      </w:r>
      <w:bookmarkEnd w:id="47"/>
    </w:p>
    <w:p w14:paraId="5EA55A33">
      <w:pPr>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outlineLvl w:val="1"/>
        <w:rPr>
          <w:rFonts w:hint="eastAsia" w:ascii="楷体" w:hAnsi="楷体" w:eastAsia="楷体" w:cs="楷体"/>
          <w:b w:val="0"/>
          <w:bCs w:val="0"/>
          <w:color w:val="auto"/>
          <w:spacing w:val="0"/>
          <w:w w:val="100"/>
          <w:sz w:val="32"/>
          <w:szCs w:val="32"/>
        </w:rPr>
      </w:pPr>
      <w:bookmarkStart w:id="48" w:name="（一）信息报送、发布与通报"/>
      <w:bookmarkEnd w:id="48"/>
      <w:bookmarkStart w:id="49" w:name="_Toc26064"/>
      <w:r>
        <w:rPr>
          <w:rFonts w:hint="eastAsia" w:ascii="楷体" w:hAnsi="楷体" w:eastAsia="楷体" w:cs="楷体"/>
          <w:b w:val="0"/>
          <w:bCs w:val="0"/>
          <w:color w:val="auto"/>
          <w:spacing w:val="0"/>
          <w:w w:val="100"/>
          <w:sz w:val="32"/>
          <w:szCs w:val="32"/>
        </w:rPr>
        <w:t>（一）信息报送、发布与通报</w:t>
      </w:r>
      <w:bookmarkEnd w:id="49"/>
    </w:p>
    <w:p w14:paraId="0882460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zh-CN" w:eastAsia="zh-CN"/>
        </w:rPr>
      </w:pPr>
      <w:r>
        <w:rPr>
          <w:rFonts w:hint="eastAsia" w:ascii="仿宋" w:hAnsi="仿宋" w:eastAsia="仿宋" w:cs="仿宋"/>
          <w:b w:val="0"/>
          <w:bCs w:val="0"/>
          <w:color w:val="auto"/>
          <w:spacing w:val="0"/>
          <w:w w:val="100"/>
          <w:sz w:val="32"/>
          <w:szCs w:val="32"/>
          <w:lang w:val="zh-CN" w:eastAsia="zh-CN"/>
        </w:rPr>
        <w:t>信息报送、发布与通报决定了应急处置的结果，是突发事件应急处置的重要内容，贯穿于应急处置的全流程。</w:t>
      </w:r>
    </w:p>
    <w:p w14:paraId="08C5127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（1）信息收集与报送</w:t>
      </w:r>
    </w:p>
    <w:p w14:paraId="0B617715">
      <w:pPr>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outlineLvl w:val="9"/>
        <w:rPr>
          <w:rFonts w:hint="eastAsia" w:ascii="仿宋" w:hAnsi="仿宋" w:eastAsia="仿宋" w:cs="仿宋"/>
          <w:b w:val="0"/>
          <w:bCs w:val="0"/>
          <w:color w:val="auto"/>
          <w:spacing w:val="0"/>
          <w:w w:val="100"/>
          <w:sz w:val="32"/>
          <w:szCs w:val="32"/>
          <w:lang w:val="zh-CN" w:eastAsia="zh-CN" w:bidi="zh-CN"/>
        </w:rPr>
      </w:pPr>
      <w:r>
        <w:rPr>
          <w:rFonts w:hint="eastAsia" w:ascii="仿宋" w:hAnsi="仿宋" w:eastAsia="仿宋" w:cs="仿宋"/>
          <w:b w:val="0"/>
          <w:bCs w:val="0"/>
          <w:color w:val="auto"/>
          <w:spacing w:val="0"/>
          <w:w w:val="100"/>
          <w:sz w:val="32"/>
          <w:szCs w:val="32"/>
          <w:lang w:val="en-US" w:eastAsia="zh-CN" w:bidi="zh-CN"/>
        </w:rPr>
        <w:t>1.</w:t>
      </w:r>
      <w:r>
        <w:rPr>
          <w:rFonts w:hint="eastAsia" w:ascii="仿宋" w:hAnsi="仿宋" w:eastAsia="仿宋" w:cs="仿宋"/>
          <w:b w:val="0"/>
          <w:bCs w:val="0"/>
          <w:color w:val="auto"/>
          <w:spacing w:val="0"/>
          <w:w w:val="100"/>
          <w:sz w:val="32"/>
          <w:szCs w:val="32"/>
          <w:lang w:val="zh-CN" w:eastAsia="zh-CN" w:bidi="zh-CN"/>
        </w:rPr>
        <w:t>政府各部门、企事业单位、社会组织和个人有权利也有义务向“110”应急联动指挥中心、区政府及有关部门报告风险隐患、初期征兆、突发事件和灾害情况。</w:t>
      </w:r>
    </w:p>
    <w:p w14:paraId="3522280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rPr>
      </w:pPr>
      <w:r>
        <w:rPr>
          <w:rFonts w:hint="eastAsia" w:ascii="仿宋" w:hAnsi="仿宋" w:eastAsia="仿宋" w:cs="仿宋"/>
          <w:b w:val="0"/>
          <w:bCs w:val="0"/>
          <w:color w:val="auto"/>
          <w:spacing w:val="0"/>
          <w:w w:val="100"/>
          <w:sz w:val="32"/>
          <w:szCs w:val="32"/>
          <w:lang w:val="en-US" w:eastAsia="zh-CN"/>
        </w:rPr>
        <w:t>2.</w:t>
      </w:r>
      <w:r>
        <w:rPr>
          <w:rFonts w:hint="eastAsia" w:ascii="仿宋" w:hAnsi="仿宋" w:eastAsia="仿宋" w:cs="仿宋"/>
          <w:b w:val="0"/>
          <w:bCs w:val="0"/>
          <w:color w:val="auto"/>
          <w:spacing w:val="0"/>
          <w:w w:val="100"/>
          <w:sz w:val="32"/>
          <w:szCs w:val="32"/>
          <w:lang w:val="en-US"/>
        </w:rPr>
        <w:t>对于已经发生的突发事件，各主管部门、突发事件所在街道办事处、村屯必须尽快掌握情况，在事件发生半小时内向区应急指挥部办公室电话报送初步情况，在事件发生1小时内书面报送相关情况；直报区委、区政府值班室及</w:t>
      </w:r>
      <w:r>
        <w:rPr>
          <w:rFonts w:hint="eastAsia" w:ascii="仿宋" w:hAnsi="仿宋" w:eastAsia="仿宋" w:cs="仿宋"/>
          <w:b w:val="0"/>
          <w:bCs w:val="0"/>
          <w:color w:val="auto"/>
          <w:spacing w:val="0"/>
          <w:w w:val="100"/>
          <w:sz w:val="32"/>
          <w:szCs w:val="32"/>
          <w:highlight w:val="none"/>
          <w:lang w:val="en-US"/>
        </w:rPr>
        <w:t>区</w:t>
      </w:r>
      <w:r>
        <w:rPr>
          <w:rFonts w:hint="eastAsia" w:ascii="仿宋" w:hAnsi="仿宋" w:eastAsia="仿宋" w:cs="仿宋"/>
          <w:b w:val="0"/>
          <w:bCs w:val="0"/>
          <w:color w:val="auto"/>
          <w:spacing w:val="0"/>
          <w:w w:val="100"/>
          <w:sz w:val="32"/>
          <w:szCs w:val="32"/>
          <w:highlight w:val="none"/>
          <w:lang w:val="en-US" w:eastAsia="zh-CN"/>
        </w:rPr>
        <w:t>行业</w:t>
      </w:r>
      <w:r>
        <w:rPr>
          <w:rFonts w:hint="eastAsia" w:ascii="仿宋" w:hAnsi="仿宋" w:eastAsia="仿宋" w:cs="仿宋"/>
          <w:b w:val="0"/>
          <w:bCs w:val="0"/>
          <w:color w:val="auto"/>
          <w:spacing w:val="0"/>
          <w:w w:val="100"/>
          <w:sz w:val="32"/>
          <w:szCs w:val="32"/>
          <w:lang w:val="en-US"/>
        </w:rPr>
        <w:t>主管部门的较大及以上突发事件信息，须同步向区应急局报告；重大及以上或其他特殊情况必须立即报告。</w:t>
      </w:r>
    </w:p>
    <w:p w14:paraId="7A66BF1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rPr>
      </w:pPr>
      <w:r>
        <w:rPr>
          <w:rFonts w:hint="eastAsia" w:ascii="仿宋" w:hAnsi="仿宋" w:eastAsia="仿宋" w:cs="仿宋"/>
          <w:b w:val="0"/>
          <w:bCs w:val="0"/>
          <w:color w:val="auto"/>
          <w:spacing w:val="0"/>
          <w:w w:val="100"/>
          <w:sz w:val="32"/>
          <w:szCs w:val="32"/>
          <w:lang w:val="en-US" w:eastAsia="zh-CN"/>
        </w:rPr>
        <w:t>3.</w:t>
      </w:r>
      <w:r>
        <w:rPr>
          <w:rFonts w:hint="eastAsia" w:ascii="仿宋" w:hAnsi="仿宋" w:eastAsia="仿宋" w:cs="仿宋"/>
          <w:b w:val="0"/>
          <w:bCs w:val="0"/>
          <w:color w:val="auto"/>
          <w:spacing w:val="0"/>
          <w:w w:val="100"/>
          <w:sz w:val="32"/>
          <w:szCs w:val="32"/>
          <w:lang w:val="en-US"/>
        </w:rPr>
        <w:t>根据事态进展，突发事件所在街道办事处、村屯和有关部门要及时做好事件后续处置情况的信息续报，并在应急响应终止后进行信息终报。接到较大及以上突发事件发生或可能发生的信息后，区政府及有关部门要全面掌握较大及以上突发事件信息，了解一般突发事件信息，较大及以上突发事件信息要及时报送市政府。对于一些事件本身比较敏感或发生在重点地区、重要时期，或可能演化为特别重大、重大突发事件的，不受突发事件分级标准限制。</w:t>
      </w:r>
    </w:p>
    <w:p w14:paraId="52BD4BF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rPr>
      </w:pPr>
      <w:r>
        <w:rPr>
          <w:rFonts w:hint="eastAsia" w:ascii="仿宋" w:hAnsi="仿宋" w:eastAsia="仿宋" w:cs="仿宋"/>
          <w:b w:val="0"/>
          <w:bCs w:val="0"/>
          <w:color w:val="auto"/>
          <w:spacing w:val="0"/>
          <w:w w:val="100"/>
          <w:sz w:val="32"/>
          <w:szCs w:val="32"/>
          <w:lang w:val="en-US" w:eastAsia="zh-CN"/>
        </w:rPr>
        <w:t>4.</w:t>
      </w:r>
      <w:r>
        <w:rPr>
          <w:rFonts w:hint="eastAsia" w:ascii="仿宋" w:hAnsi="仿宋" w:eastAsia="仿宋" w:cs="仿宋"/>
          <w:b w:val="0"/>
          <w:bCs w:val="0"/>
          <w:color w:val="auto"/>
          <w:spacing w:val="0"/>
          <w:w w:val="100"/>
          <w:sz w:val="32"/>
          <w:szCs w:val="32"/>
          <w:lang w:val="en-US"/>
        </w:rPr>
        <w:t>报告内容一般包括突发事件发生的时间、地点、信息来源、性质、简要经过、影响范围、人员伤亡和失联情况、房屋倒塌损坏情况、基础设施损毁情况、现场救援情况和已经采取的措施等。</w:t>
      </w:r>
    </w:p>
    <w:p w14:paraId="43190E2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（2）信息发布</w:t>
      </w:r>
    </w:p>
    <w:p w14:paraId="33403DC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rPr>
      </w:pPr>
      <w:r>
        <w:rPr>
          <w:rFonts w:hint="eastAsia" w:ascii="仿宋" w:hAnsi="仿宋" w:eastAsia="仿宋" w:cs="仿宋"/>
          <w:b w:val="0"/>
          <w:bCs w:val="0"/>
          <w:color w:val="auto"/>
          <w:spacing w:val="0"/>
          <w:w w:val="100"/>
          <w:sz w:val="32"/>
          <w:szCs w:val="32"/>
          <w:lang w:val="en-US" w:eastAsia="zh-CN"/>
        </w:rPr>
        <w:t>1.</w:t>
      </w:r>
      <w:r>
        <w:rPr>
          <w:rFonts w:hint="eastAsia" w:ascii="仿宋" w:hAnsi="仿宋" w:eastAsia="仿宋" w:cs="仿宋"/>
          <w:b w:val="0"/>
          <w:bCs w:val="0"/>
          <w:color w:val="auto"/>
          <w:spacing w:val="0"/>
          <w:w w:val="100"/>
          <w:sz w:val="32"/>
          <w:szCs w:val="32"/>
          <w:highlight w:val="none"/>
          <w:lang w:val="en-US"/>
        </w:rPr>
        <w:t>各级党政机关主要负责人</w:t>
      </w:r>
      <w:r>
        <w:rPr>
          <w:rFonts w:hint="eastAsia" w:ascii="仿宋" w:hAnsi="仿宋" w:eastAsia="仿宋" w:cs="仿宋"/>
          <w:b w:val="0"/>
          <w:bCs w:val="0"/>
          <w:color w:val="auto"/>
          <w:spacing w:val="0"/>
          <w:w w:val="100"/>
          <w:sz w:val="32"/>
          <w:szCs w:val="32"/>
          <w:lang w:val="en-US"/>
        </w:rPr>
        <w:t>是“第一新闻发言人”，对信息发布负有主要责任。</w:t>
      </w:r>
    </w:p>
    <w:p w14:paraId="428E550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rPr>
      </w:pPr>
      <w:r>
        <w:rPr>
          <w:rFonts w:hint="eastAsia" w:ascii="仿宋" w:hAnsi="仿宋" w:eastAsia="仿宋" w:cs="仿宋"/>
          <w:b w:val="0"/>
          <w:bCs w:val="0"/>
          <w:color w:val="auto"/>
          <w:spacing w:val="0"/>
          <w:w w:val="100"/>
          <w:sz w:val="32"/>
          <w:szCs w:val="32"/>
          <w:lang w:val="en-US" w:eastAsia="zh-CN"/>
        </w:rPr>
        <w:t>2.</w:t>
      </w:r>
      <w:r>
        <w:rPr>
          <w:rFonts w:hint="eastAsia" w:ascii="仿宋" w:hAnsi="仿宋" w:eastAsia="仿宋" w:cs="仿宋"/>
          <w:b w:val="0"/>
          <w:bCs w:val="0"/>
          <w:color w:val="auto"/>
          <w:spacing w:val="0"/>
          <w:w w:val="100"/>
          <w:sz w:val="32"/>
          <w:szCs w:val="32"/>
          <w:lang w:val="en-US"/>
        </w:rPr>
        <w:t>应急信息发布坚持依法、及时、准确、全面、客观的原则，按照政府有关规定和程序有序开展，在不涉及国家秘密、商业机密、个人隐私的条件下，按规定先向社会发布简要信息，随后发布初步核实情况和政府应对措施，并根据事件处置情况，做好后续信息发布工作。</w:t>
      </w:r>
    </w:p>
    <w:p w14:paraId="695FE82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rPr>
      </w:pPr>
      <w:r>
        <w:rPr>
          <w:rFonts w:hint="eastAsia" w:ascii="仿宋" w:hAnsi="仿宋" w:eastAsia="仿宋" w:cs="仿宋"/>
          <w:b w:val="0"/>
          <w:bCs w:val="0"/>
          <w:color w:val="auto"/>
          <w:spacing w:val="0"/>
          <w:w w:val="100"/>
          <w:sz w:val="32"/>
          <w:szCs w:val="32"/>
          <w:lang w:val="en-US" w:eastAsia="zh-CN"/>
        </w:rPr>
        <w:t>3.</w:t>
      </w:r>
      <w:r>
        <w:rPr>
          <w:rFonts w:hint="eastAsia" w:ascii="仿宋" w:hAnsi="仿宋" w:eastAsia="仿宋" w:cs="仿宋"/>
          <w:b w:val="0"/>
          <w:bCs w:val="0"/>
          <w:color w:val="auto"/>
          <w:spacing w:val="0"/>
          <w:w w:val="100"/>
          <w:sz w:val="32"/>
          <w:szCs w:val="32"/>
          <w:lang w:val="en-US"/>
        </w:rPr>
        <w:t>较大及以上突发事件发生后，相关应急指挥机构要组织好新闻媒体的接待和信息统一发布工作，确定新闻发言人，及时召开新闻发布会，统一、及时向社会发布有关信息。</w:t>
      </w:r>
    </w:p>
    <w:p w14:paraId="1F5AAD8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（3）情况通报</w:t>
      </w:r>
    </w:p>
    <w:p w14:paraId="74C03A8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val="0"/>
          <w:bCs w:val="0"/>
          <w:color w:val="auto"/>
          <w:spacing w:val="0"/>
          <w:w w:val="100"/>
          <w:sz w:val="32"/>
          <w:szCs w:val="32"/>
          <w:lang w:val="en-US"/>
        </w:rPr>
      </w:pPr>
      <w:r>
        <w:rPr>
          <w:rFonts w:hint="eastAsia" w:ascii="仿宋" w:hAnsi="仿宋" w:eastAsia="仿宋" w:cs="仿宋"/>
          <w:b w:val="0"/>
          <w:bCs w:val="0"/>
          <w:color w:val="auto"/>
          <w:spacing w:val="0"/>
          <w:w w:val="100"/>
          <w:sz w:val="32"/>
          <w:szCs w:val="32"/>
          <w:lang w:val="en-US"/>
        </w:rPr>
        <w:t>突发事件涉及或影响到本区行政区域外的，区应急指挥部应及时通报相关行政区域所在地政府，并报区政府及其相关部门。</w:t>
      </w:r>
    </w:p>
    <w:p w14:paraId="0D92647A">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50" w:name="（二）先期处置"/>
      <w:bookmarkEnd w:id="50"/>
      <w:bookmarkStart w:id="51" w:name="_Toc870"/>
      <w:r>
        <w:rPr>
          <w:rFonts w:hint="eastAsia" w:ascii="楷体" w:hAnsi="楷体" w:eastAsia="楷体" w:cs="楷体"/>
          <w:b w:val="0"/>
          <w:bCs w:val="0"/>
          <w:color w:val="auto"/>
          <w:spacing w:val="0"/>
          <w:w w:val="100"/>
          <w:sz w:val="32"/>
          <w:szCs w:val="32"/>
        </w:rPr>
        <w:t>（二）先期处置</w:t>
      </w:r>
      <w:bookmarkEnd w:id="51"/>
    </w:p>
    <w:p w14:paraId="4425538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（1）</w:t>
      </w:r>
      <w:r>
        <w:rPr>
          <w:rFonts w:hint="eastAsia" w:ascii="仿宋" w:hAnsi="仿宋" w:eastAsia="仿宋" w:cs="仿宋"/>
          <w:color w:val="auto"/>
          <w:spacing w:val="0"/>
          <w:w w:val="100"/>
          <w:sz w:val="32"/>
          <w:szCs w:val="32"/>
          <w:lang w:val="en-US"/>
        </w:rPr>
        <w:t>突发事件所在单位、街道办事处、村屯及相关部门（单位）要在信息报送的同时，立即组织本单位应急队伍和工作人员营救受害人员，疏散、撤离、临时安置受威胁人员；控制危险源，标明危险区域，封锁危险场所，并采取其他防止危害扩大的措施。迅速控制可疑的传染源，积极救治病人，组织医疗卫生人员加强个人防护。对因本单位的问题引发的或主体是本单位人员的社会安全事件，有关单位要迅速派出负责人赶赴现场开展劝解、疏导工作。</w:t>
      </w:r>
    </w:p>
    <w:p w14:paraId="6702D05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（2）</w:t>
      </w:r>
      <w:r>
        <w:rPr>
          <w:rFonts w:hint="eastAsia" w:ascii="仿宋" w:hAnsi="仿宋" w:eastAsia="仿宋" w:cs="仿宋"/>
          <w:color w:val="auto"/>
          <w:spacing w:val="0"/>
          <w:w w:val="100"/>
          <w:sz w:val="32"/>
          <w:szCs w:val="32"/>
          <w:lang w:val="en-US"/>
        </w:rPr>
        <w:t>突发事件所在街道办事处、村屯和其他组织要立即进行宣传动员，组织群众开展自救和互救，协助维护社会秩序，或按区政府的决定、命令组织开展突发事件应对工作。</w:t>
      </w:r>
    </w:p>
    <w:p w14:paraId="71FE7E93">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（3）</w:t>
      </w:r>
      <w:r>
        <w:rPr>
          <w:rFonts w:hint="eastAsia" w:ascii="仿宋" w:hAnsi="仿宋" w:eastAsia="仿宋" w:cs="仿宋"/>
          <w:color w:val="auto"/>
          <w:spacing w:val="0"/>
          <w:w w:val="100"/>
          <w:sz w:val="32"/>
          <w:szCs w:val="32"/>
          <w:lang w:val="en-US"/>
        </w:rPr>
        <w:t>突发事件所在街道办事处、村屯等组织调动相关应急救援力量，采取措施控制事态发展，开展应急处置与救援工作，并及时向区政府报告。</w:t>
      </w:r>
    </w:p>
    <w:p w14:paraId="4B4AD4B9">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rPr>
      </w:pPr>
      <w:r>
        <w:rPr>
          <w:rFonts w:hint="eastAsia" w:ascii="仿宋" w:hAnsi="仿宋" w:eastAsia="仿宋" w:cs="仿宋"/>
          <w:color w:val="auto"/>
          <w:spacing w:val="0"/>
          <w:w w:val="100"/>
          <w:sz w:val="32"/>
          <w:szCs w:val="32"/>
          <w:lang w:val="en-US" w:eastAsia="zh-CN"/>
        </w:rPr>
        <w:t>（4）</w:t>
      </w:r>
      <w:r>
        <w:rPr>
          <w:rFonts w:hint="eastAsia" w:ascii="仿宋" w:hAnsi="仿宋" w:eastAsia="仿宋" w:cs="仿宋"/>
          <w:color w:val="auto"/>
          <w:spacing w:val="0"/>
          <w:w w:val="100"/>
          <w:sz w:val="32"/>
          <w:szCs w:val="32"/>
          <w:lang w:val="en-US"/>
        </w:rPr>
        <w:t>区政府立即依法组织开展应对工作，采取有力措施控制事态发展和灾情蔓延。</w:t>
      </w:r>
    </w:p>
    <w:p w14:paraId="10CF98D9">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52" w:name="（三）指挥和协调"/>
      <w:bookmarkEnd w:id="52"/>
      <w:bookmarkStart w:id="53" w:name="_Toc20640"/>
      <w:r>
        <w:rPr>
          <w:rFonts w:hint="eastAsia" w:ascii="楷体" w:hAnsi="楷体" w:eastAsia="楷体" w:cs="楷体"/>
          <w:b w:val="0"/>
          <w:bCs w:val="0"/>
          <w:color w:val="auto"/>
          <w:spacing w:val="0"/>
          <w:w w:val="100"/>
          <w:sz w:val="32"/>
          <w:szCs w:val="32"/>
        </w:rPr>
        <w:t>（三）指挥和协调</w:t>
      </w:r>
      <w:bookmarkEnd w:id="53"/>
    </w:p>
    <w:p w14:paraId="072775E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（1）区政府负责突发事件应急指挥、协调。</w:t>
      </w:r>
    </w:p>
    <w:p w14:paraId="0FE3EEAD">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2）如果突发事件只局限在突发事件所在单位，没有对周围人员、设施造成影响，应急救援的指挥协调由突发事件所在单位负责人承担。突发事件所在街道办事处、村屯，要在突发事件发生后，按照信息报送相关工作要求上报。由应急责任部门给予指导和协助，必要时调动专业救援队伍支持。</w:t>
      </w:r>
    </w:p>
    <w:p w14:paraId="364813B4">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3）如果突发事件危及周围的建筑、人员安全，街道办事处、村屯要在突发事件责任部门的统筹下，负责必要的指挥协调。突发事件应急责任部门给予指导和协助，必要时调动专业救援队伍支持，组织社会组织协助展开自救和互救、生活安置。</w:t>
      </w:r>
    </w:p>
    <w:p w14:paraId="0628A45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rPr>
      </w:pPr>
      <w:r>
        <w:rPr>
          <w:rFonts w:hint="eastAsia" w:ascii="仿宋" w:hAnsi="仿宋" w:eastAsia="仿宋" w:cs="仿宋"/>
          <w:color w:val="auto"/>
          <w:spacing w:val="0"/>
          <w:w w:val="100"/>
          <w:sz w:val="32"/>
          <w:szCs w:val="32"/>
          <w:lang w:val="en-US" w:eastAsia="zh-CN"/>
        </w:rPr>
        <w:t>（4）必要时，区政府组成现场指挥部、成立应急工作组，调配全区救援力量参加救援。</w:t>
      </w:r>
    </w:p>
    <w:p w14:paraId="6035E0DE">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rPr>
        <w:t>（5）Ⅰ级应急响应启动后，国家、省、市应急指挥机构参与指挥，区应急指挥部带领全区应急力量、调动应急物资听从指挥，统一参加救援行动。</w:t>
      </w:r>
      <w:bookmarkStart w:id="54" w:name="（四）响应分级"/>
      <w:bookmarkEnd w:id="54"/>
    </w:p>
    <w:p w14:paraId="0E008C21">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55" w:name="_Toc14320"/>
      <w:r>
        <w:rPr>
          <w:rFonts w:hint="eastAsia" w:ascii="楷体" w:hAnsi="楷体" w:eastAsia="楷体" w:cs="楷体"/>
          <w:b w:val="0"/>
          <w:bCs w:val="0"/>
          <w:color w:val="auto"/>
          <w:spacing w:val="0"/>
          <w:w w:val="100"/>
          <w:sz w:val="32"/>
          <w:szCs w:val="32"/>
        </w:rPr>
        <w:t>（四）响应分级</w:t>
      </w:r>
      <w:bookmarkEnd w:id="55"/>
    </w:p>
    <w:p w14:paraId="460C7B8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本预案设置Ⅳ级响应（Ⅰ级响应、Ⅱ级响应、Ⅲ级响应、Ⅳ级响应），应急响应等级视事态发展升级、降级或终止；视情况</w:t>
      </w:r>
      <w:r>
        <w:rPr>
          <w:rFonts w:hint="eastAsia" w:ascii="仿宋" w:hAnsi="仿宋" w:eastAsia="仿宋" w:cs="仿宋"/>
          <w:color w:val="auto"/>
          <w:spacing w:val="0"/>
          <w:w w:val="100"/>
          <w:sz w:val="32"/>
          <w:szCs w:val="32"/>
          <w:lang w:val="en-US" w:eastAsia="zh-CN" w:bidi="zh-CN"/>
        </w:rPr>
        <w:t>报请启动</w:t>
      </w:r>
      <w:r>
        <w:rPr>
          <w:rFonts w:hint="eastAsia" w:ascii="仿宋" w:hAnsi="仿宋" w:eastAsia="仿宋" w:cs="仿宋"/>
          <w:color w:val="auto"/>
          <w:spacing w:val="0"/>
          <w:w w:val="100"/>
          <w:sz w:val="32"/>
          <w:szCs w:val="32"/>
          <w:highlight w:val="none"/>
          <w:lang w:val="en-US" w:eastAsia="zh-CN" w:bidi="zh-CN"/>
        </w:rPr>
        <w:t>区级、市级、省级、国家级</w:t>
      </w:r>
      <w:r>
        <w:rPr>
          <w:rFonts w:hint="eastAsia" w:ascii="仿宋" w:hAnsi="仿宋" w:eastAsia="仿宋" w:cs="仿宋"/>
          <w:color w:val="auto"/>
          <w:spacing w:val="0"/>
          <w:w w:val="100"/>
          <w:sz w:val="32"/>
          <w:szCs w:val="32"/>
          <w:lang w:val="en-US" w:eastAsia="zh-CN" w:bidi="zh-CN"/>
        </w:rPr>
        <w:t>相应预案应急响应或军地应急联动。</w:t>
      </w:r>
    </w:p>
    <w:p w14:paraId="67EC6E1E">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（1）Ⅰ级响应：</w:t>
      </w:r>
      <w:r>
        <w:rPr>
          <w:rFonts w:hint="eastAsia" w:ascii="仿宋" w:hAnsi="仿宋" w:eastAsia="仿宋" w:cs="仿宋"/>
          <w:color w:val="auto"/>
          <w:spacing w:val="0"/>
          <w:w w:val="100"/>
          <w:sz w:val="32"/>
          <w:szCs w:val="32"/>
          <w:lang w:val="en-US" w:eastAsia="zh-CN" w:bidi="zh-CN"/>
        </w:rPr>
        <w:t>发生重大及特别重大级别的突发事件，启动Ⅰ级响应。在国家、省政府应急指挥机构的统一指挥下，执行国家、省级应急预案的启动程序及处置措施，区委、区政府带领全区力量参加救援。</w:t>
      </w:r>
    </w:p>
    <w:p w14:paraId="744960F1">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（2）Ⅱ级响应：</w:t>
      </w:r>
      <w:r>
        <w:rPr>
          <w:rFonts w:hint="eastAsia" w:ascii="仿宋" w:hAnsi="仿宋" w:eastAsia="仿宋" w:cs="仿宋"/>
          <w:color w:val="auto"/>
          <w:spacing w:val="0"/>
          <w:w w:val="100"/>
          <w:sz w:val="32"/>
          <w:szCs w:val="32"/>
          <w:lang w:val="en-US" w:eastAsia="zh-CN" w:bidi="zh-CN"/>
        </w:rPr>
        <w:t>发生较大级别的突发事件，启动Ⅱ级响应。在市政府应急指挥机构的统一指挥下，执行市级应急预案的启动程序及处置措施，区委、区政府带领全区应急力量配合市级专业救援队伍开展救援行动。</w:t>
      </w:r>
    </w:p>
    <w:p w14:paraId="3E18FAE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（3）Ⅲ级响应：</w:t>
      </w:r>
      <w:r>
        <w:rPr>
          <w:rFonts w:hint="eastAsia" w:ascii="仿宋" w:hAnsi="仿宋" w:eastAsia="仿宋" w:cs="仿宋"/>
          <w:color w:val="auto"/>
          <w:spacing w:val="0"/>
          <w:w w:val="100"/>
          <w:sz w:val="32"/>
          <w:szCs w:val="32"/>
          <w:lang w:val="en-US" w:eastAsia="zh-CN" w:bidi="zh-CN"/>
        </w:rPr>
        <w:t>发生一般级别的突发事件，启动Ⅲ级响应。在区委、区政府的带领下，突发事件应急指挥部指挥全区应急力量、调动全区应急物资开展救援行动，必要时可以申请市级救援力量的支援。</w:t>
      </w:r>
    </w:p>
    <w:p w14:paraId="5F5E6BC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_GB2312" w:hAnsi="仿宋_GB2312" w:eastAsia="仿宋_GB2312" w:cs="仿宋_GB2312"/>
          <w:color w:val="auto"/>
          <w:spacing w:val="0"/>
          <w:w w:val="100"/>
          <w:sz w:val="32"/>
          <w:szCs w:val="32"/>
          <w:lang w:val="en-US"/>
        </w:rPr>
      </w:pPr>
      <w:r>
        <w:rPr>
          <w:rFonts w:hint="eastAsia" w:ascii="仿宋" w:hAnsi="仿宋" w:eastAsia="仿宋" w:cs="仿宋"/>
          <w:b/>
          <w:bCs/>
          <w:color w:val="auto"/>
          <w:spacing w:val="0"/>
          <w:w w:val="100"/>
          <w:sz w:val="32"/>
          <w:szCs w:val="32"/>
          <w:lang w:val="en-US" w:eastAsia="zh-CN" w:bidi="zh-CN"/>
        </w:rPr>
        <w:t>（4）Ⅳ级响应：</w:t>
      </w:r>
      <w:r>
        <w:rPr>
          <w:rFonts w:hint="eastAsia" w:ascii="仿宋" w:hAnsi="仿宋" w:eastAsia="仿宋" w:cs="仿宋"/>
          <w:color w:val="auto"/>
          <w:spacing w:val="0"/>
          <w:w w:val="100"/>
          <w:sz w:val="32"/>
          <w:szCs w:val="32"/>
          <w:lang w:val="en-US" w:eastAsia="zh-CN" w:bidi="zh-CN"/>
        </w:rPr>
        <w:t>突发事件影响范围局限在一个单位或一个街道的范围内，突发事件所在单位、街道办事处、村屯组织救援即可控制事态发展，启动Ⅳ级响应。</w:t>
      </w:r>
    </w:p>
    <w:p w14:paraId="44596E6F">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56" w:name="（五）处置措施"/>
      <w:bookmarkEnd w:id="56"/>
      <w:bookmarkStart w:id="57" w:name="_Toc4662"/>
      <w:r>
        <w:rPr>
          <w:rFonts w:hint="eastAsia" w:ascii="楷体" w:hAnsi="楷体" w:eastAsia="楷体" w:cs="楷体"/>
          <w:b w:val="0"/>
          <w:bCs w:val="0"/>
          <w:color w:val="auto"/>
          <w:spacing w:val="0"/>
          <w:w w:val="100"/>
          <w:sz w:val="32"/>
          <w:szCs w:val="32"/>
        </w:rPr>
        <w:t>（五）处置措施</w:t>
      </w:r>
      <w:bookmarkEnd w:id="57"/>
    </w:p>
    <w:p w14:paraId="35EE7A8E">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自然灾害、事故灾难或者公共卫生事件发生后，区应急指挥部立即按照突发事件类型、危险程度、发展趋势等情况成立相应的现场指挥部，组织调动应急救援队伍和社会力量开展应急处置工作，并视情况采取下列措施：</w:t>
      </w:r>
    </w:p>
    <w:p w14:paraId="18E07873">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（1）指挥协调。</w:t>
      </w:r>
      <w:r>
        <w:rPr>
          <w:rFonts w:hint="eastAsia" w:ascii="仿宋" w:hAnsi="仿宋" w:eastAsia="仿宋" w:cs="仿宋"/>
          <w:color w:val="auto"/>
          <w:spacing w:val="0"/>
          <w:w w:val="100"/>
          <w:sz w:val="32"/>
          <w:szCs w:val="32"/>
          <w:lang w:val="en-US" w:eastAsia="zh-CN" w:bidi="zh-CN"/>
        </w:rPr>
        <w:t>参与突发事件应急处置的相关部门，在应急指挥机构的统一指挥下，调动有关力量和资源，迅速组织实施现场应急处置，控制事态发展；组织协调有关方面负责人、专家和应急队伍参与应急救援；协调有关地区和部门提供应急保障，包括协调应急联动机构和调度各方救援资源等。在人员救护方面，由区卫健局负责组织救治受伤人员，转移、疏散、撤离、安置受威胁人员，启动心理干预。区民政局等部门负责提供生活必需品、临时避难场所等生活保障措施。</w:t>
      </w:r>
    </w:p>
    <w:p w14:paraId="7679859A">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（2）控制危险源（点）。</w:t>
      </w:r>
      <w:r>
        <w:rPr>
          <w:rFonts w:hint="eastAsia" w:ascii="仿宋" w:hAnsi="仿宋" w:eastAsia="仿宋" w:cs="仿宋"/>
          <w:color w:val="auto"/>
          <w:spacing w:val="0"/>
          <w:w w:val="100"/>
          <w:sz w:val="32"/>
          <w:szCs w:val="32"/>
          <w:lang w:val="en-US" w:eastAsia="zh-CN" w:bidi="zh-CN"/>
        </w:rPr>
        <w:t>抢险救援组由突发事件应急责任部门牵头，消防救援大队实施，必要时请上级政府协调武警、军队力量，组织力量全面查清事件危险源（点）情况，采取封堵、加固、拆除、消除危险源（点）等措施控制危险源、降低风险隐患，标明危险区域、封锁危险场所，迅速排除险情。</w:t>
      </w:r>
    </w:p>
    <w:p w14:paraId="2F075D22">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（3）现场管控。</w:t>
      </w:r>
      <w:r>
        <w:rPr>
          <w:rFonts w:hint="eastAsia" w:ascii="仿宋" w:hAnsi="仿宋" w:eastAsia="仿宋" w:cs="仿宋"/>
          <w:color w:val="auto"/>
          <w:spacing w:val="0"/>
          <w:w w:val="100"/>
          <w:sz w:val="32"/>
          <w:szCs w:val="32"/>
          <w:lang w:val="en-US" w:eastAsia="zh-CN" w:bidi="zh-CN"/>
        </w:rPr>
        <w:t>治安保卫组负责。维护现场治安秩序和当地社会稳定工作，按照有关程序禁止或者限制使用有关设备、设施，采取封闭、隔离或者限制使用有关场所，中止人员密集的活动或者可能导致危害扩大的生产经营活动，依法限制公民某些权利和增加公民义务等措施。</w:t>
      </w:r>
    </w:p>
    <w:p w14:paraId="488CA250">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（4）基础设施恢复。</w:t>
      </w:r>
      <w:r>
        <w:rPr>
          <w:rFonts w:hint="eastAsia" w:ascii="仿宋" w:hAnsi="仿宋" w:eastAsia="仿宋" w:cs="仿宋"/>
          <w:color w:val="auto"/>
          <w:spacing w:val="0"/>
          <w:w w:val="100"/>
          <w:sz w:val="32"/>
          <w:szCs w:val="32"/>
          <w:lang w:val="en-US" w:eastAsia="zh-CN" w:bidi="zh-CN"/>
        </w:rPr>
        <w:t>区工信局、区住建局等部门应组织公共交通、供电、通讯、供水、供热等部门开展抢险抢修工作，尽快恢复基础设施正常运转。</w:t>
      </w:r>
    </w:p>
    <w:p w14:paraId="563BC368">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（5）应急资源保障。</w:t>
      </w:r>
      <w:r>
        <w:rPr>
          <w:rFonts w:hint="eastAsia" w:ascii="仿宋" w:hAnsi="仿宋" w:eastAsia="仿宋" w:cs="仿宋"/>
          <w:color w:val="auto"/>
          <w:spacing w:val="0"/>
          <w:w w:val="100"/>
          <w:sz w:val="32"/>
          <w:szCs w:val="32"/>
          <w:lang w:val="en-US" w:eastAsia="zh-CN" w:bidi="zh-CN"/>
        </w:rPr>
        <w:t>后勤保障组应及时调集和配置区内应急储备物资和其他资源，必要时可以征收、征用其他急需的物资、设备、设施。组织公民参加应急救援和处置工作，要求具有特定专长的人员提供服务。</w:t>
      </w:r>
    </w:p>
    <w:p w14:paraId="4DC45FA5">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（6）生活物资保障。</w:t>
      </w:r>
      <w:r>
        <w:rPr>
          <w:rFonts w:hint="eastAsia" w:ascii="仿宋" w:hAnsi="仿宋" w:eastAsia="仿宋" w:cs="仿宋"/>
          <w:color w:val="auto"/>
          <w:spacing w:val="0"/>
          <w:w w:val="100"/>
          <w:sz w:val="32"/>
          <w:szCs w:val="32"/>
          <w:lang w:val="en-US" w:eastAsia="zh-CN" w:bidi="zh-CN"/>
        </w:rPr>
        <w:t>区民政局、区工信局、区商务局、区市场局等部门做好食品、饮用水、燃料等基本生活必需品的供应，依法从严惩处囤积居奇、哄抬物价、制假售假等扰乱市场秩序的行为，稳定市场价格，维护市场秩序；依法从严惩处哄抢财物、干扰破坏应急处置工作等扰乱社会秩序的行为，维护社会治安。</w:t>
      </w:r>
    </w:p>
    <w:p w14:paraId="0196283E">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（7）监控防范。</w:t>
      </w:r>
      <w:r>
        <w:rPr>
          <w:rFonts w:hint="eastAsia" w:ascii="仿宋" w:hAnsi="仿宋" w:eastAsia="仿宋" w:cs="仿宋"/>
          <w:color w:val="auto"/>
          <w:spacing w:val="0"/>
          <w:w w:val="100"/>
          <w:sz w:val="32"/>
          <w:szCs w:val="32"/>
          <w:lang w:val="en-US" w:eastAsia="zh-CN" w:bidi="zh-CN"/>
        </w:rPr>
        <w:t>向阳生态环境局、区卫健局等部门加强现场监测，防止疫病、环境污染等事件发生，防止引发次生、衍生事件。</w:t>
      </w:r>
    </w:p>
    <w:p w14:paraId="78928A31">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（8）舆论引导。</w:t>
      </w:r>
      <w:r>
        <w:rPr>
          <w:rFonts w:hint="eastAsia" w:ascii="仿宋" w:hAnsi="仿宋" w:eastAsia="仿宋" w:cs="仿宋"/>
          <w:color w:val="auto"/>
          <w:spacing w:val="0"/>
          <w:w w:val="100"/>
          <w:sz w:val="32"/>
          <w:szCs w:val="32"/>
          <w:lang w:val="en-US" w:eastAsia="zh-CN" w:bidi="zh-CN"/>
        </w:rPr>
        <w:t>宣传报道组充分重视并发挥主流媒体引导作用，运用新媒体等平台，及时消除不正确信息及其影响，做好舆论引导。</w:t>
      </w:r>
    </w:p>
    <w:p w14:paraId="28CC786F">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（9）社会安全事件发生后，区委、区政府立即组织有关部门协助救援，向阳公安分局针对事件的性质和特点，依照有关法律法规和国家其他有关规定，采取下列一项或者多项应急处置措施：</w:t>
      </w:r>
    </w:p>
    <w:p w14:paraId="4734F84A">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①强制隔离使用器械相互对抗或者以暴力行为参与冲突的当事人，妥善解决现场纠纷和争端，控制事态发展。</w:t>
      </w:r>
    </w:p>
    <w:p w14:paraId="5626110A">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②对特定区域内的建筑物、交通工具、设备、设施以及燃料、燃气、电力、水的供应进行控制。</w:t>
      </w:r>
    </w:p>
    <w:p w14:paraId="0D688487">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③封锁有关场所、道路，查验现场人员的身份证件，限制有关公共场所内的活动。</w:t>
      </w:r>
    </w:p>
    <w:p w14:paraId="7DB0E4FD">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④加强对易受冲击的核心机关和单位的警卫，在政府机关、军事机关、学校、医疗机构、金融服务网点等单位附近设置临时警戒线。</w:t>
      </w:r>
    </w:p>
    <w:p w14:paraId="064DB5B9">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宋体" w:hAnsi="宋体" w:eastAsia="宋体" w:cs="宋体"/>
          <w:color w:val="auto"/>
          <w:spacing w:val="0"/>
          <w:w w:val="100"/>
          <w:sz w:val="32"/>
          <w:szCs w:val="32"/>
          <w:lang w:val="en-US" w:eastAsia="zh-CN" w:bidi="zh-CN"/>
        </w:rPr>
        <w:t>⑤</w:t>
      </w:r>
      <w:r>
        <w:rPr>
          <w:rFonts w:hint="eastAsia" w:ascii="仿宋" w:hAnsi="仿宋" w:eastAsia="仿宋" w:cs="仿宋"/>
          <w:color w:val="auto"/>
          <w:spacing w:val="0"/>
          <w:w w:val="100"/>
          <w:sz w:val="32"/>
          <w:szCs w:val="32"/>
          <w:lang w:val="en-US" w:eastAsia="zh-CN" w:bidi="zh-CN"/>
        </w:rPr>
        <w:t>法律法规和国务院规定的其他必要措施。</w:t>
      </w:r>
    </w:p>
    <w:p w14:paraId="6E413EC4">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严重危害社会治安秩序的事件发生时，公安机关应当立即出动警力，根据现场情况依法采取强制性措施，尽快使社会秩序恢复正常。</w:t>
      </w:r>
    </w:p>
    <w:p w14:paraId="5811C6C2">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事故灾难发生后，现场及救援人员首先对受伤人员进行救助。必要时可以使用设备、工具等对妨碍救援的机械等障碍物进行拆除、移除。对伤者进行现场处置后及时送医。救援过程中注意救援者自身安全。</w:t>
      </w:r>
    </w:p>
    <w:p w14:paraId="3D02ED7F">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58" w:name="（六）响应终止"/>
      <w:bookmarkEnd w:id="58"/>
      <w:bookmarkStart w:id="59" w:name="_Toc6959"/>
      <w:r>
        <w:rPr>
          <w:rFonts w:hint="eastAsia" w:ascii="楷体" w:hAnsi="楷体" w:eastAsia="楷体" w:cs="楷体"/>
          <w:b w:val="0"/>
          <w:bCs w:val="0"/>
          <w:color w:val="auto"/>
          <w:spacing w:val="0"/>
          <w:w w:val="100"/>
          <w:sz w:val="32"/>
          <w:szCs w:val="32"/>
        </w:rPr>
        <w:t>（六）响应终止</w:t>
      </w:r>
      <w:bookmarkEnd w:id="59"/>
    </w:p>
    <w:p w14:paraId="345E05FE">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1.突发事件应急处置工作结束，或者相关危险因素消除后，由负责启动应急响应的应急指挥机构宣布解除应急状态，转入常态管理。</w:t>
      </w:r>
    </w:p>
    <w:p w14:paraId="1618A77C">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2.经过市政府应急指挥机构批准。</w:t>
      </w:r>
    </w:p>
    <w:p w14:paraId="4ADDFB17">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3.响应结束后，应通知相关单位和公众。</w:t>
      </w:r>
    </w:p>
    <w:p w14:paraId="40F6804A">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4.应急期结束后，各有关单位必须及时补充物资和器材，重新回到应急准备状态。</w:t>
      </w:r>
    </w:p>
    <w:p w14:paraId="4BA4760B">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黑体" w:hAnsi="黑体" w:eastAsia="黑体" w:cs="黑体"/>
          <w:b w:val="0"/>
          <w:bCs w:val="0"/>
          <w:color w:val="auto"/>
          <w:spacing w:val="0"/>
          <w:w w:val="100"/>
          <w:sz w:val="32"/>
        </w:rPr>
      </w:pPr>
      <w:bookmarkStart w:id="60" w:name="_Toc8087"/>
      <w:r>
        <w:rPr>
          <w:rFonts w:hint="eastAsia" w:ascii="黑体" w:hAnsi="黑体" w:eastAsia="黑体" w:cs="黑体"/>
          <w:b w:val="0"/>
          <w:bCs w:val="0"/>
          <w:color w:val="auto"/>
          <w:spacing w:val="0"/>
          <w:w w:val="100"/>
          <w:sz w:val="32"/>
          <w:lang w:val="en-US"/>
        </w:rPr>
        <w:t>六</w:t>
      </w:r>
      <w:r>
        <w:rPr>
          <w:rFonts w:hint="eastAsia" w:ascii="黑体" w:hAnsi="黑体" w:eastAsia="黑体" w:cs="黑体"/>
          <w:b w:val="0"/>
          <w:bCs w:val="0"/>
          <w:color w:val="auto"/>
          <w:spacing w:val="0"/>
          <w:w w:val="100"/>
          <w:sz w:val="32"/>
        </w:rPr>
        <w:t>、应急保障</w:t>
      </w:r>
      <w:bookmarkEnd w:id="60"/>
    </w:p>
    <w:p w14:paraId="7F5151B1">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政府有关部门（单位）要按照职责分工和总体应急预案规定做好突发事件的应急保障工作。</w:t>
      </w:r>
    </w:p>
    <w:p w14:paraId="6DB8015D">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61" w:name="（一）通讯信息保障"/>
      <w:bookmarkEnd w:id="61"/>
      <w:bookmarkStart w:id="62" w:name="_Toc16473"/>
      <w:r>
        <w:rPr>
          <w:rFonts w:hint="eastAsia" w:ascii="楷体" w:hAnsi="楷体" w:eastAsia="楷体" w:cs="楷体"/>
          <w:b w:val="0"/>
          <w:bCs w:val="0"/>
          <w:color w:val="auto"/>
          <w:spacing w:val="0"/>
          <w:w w:val="100"/>
          <w:sz w:val="32"/>
          <w:szCs w:val="32"/>
        </w:rPr>
        <w:t>（一）通讯信息保障</w:t>
      </w:r>
      <w:bookmarkEnd w:id="62"/>
    </w:p>
    <w:p w14:paraId="4719359C">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区工信局牵头，与电信、移动、联通、广电等部门（单位）协调合作，建立健全应急通信、应急广播电视保障工作体系，完善公用通信网络，建立有线和无线相结合、基础电信网络与机动通信系统相配套的应急通信系统，确保通信畅通。</w:t>
      </w:r>
    </w:p>
    <w:p w14:paraId="2D2A8002">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2.各应急指挥机构、参与突发事件应急处置工作的有关部门单位以及各应急队伍，应当确保至少1部专用固定电话24小时有人值守。</w:t>
      </w:r>
    </w:p>
    <w:p w14:paraId="527D9A80">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63" w:name="（二）应急队伍保障"/>
      <w:bookmarkEnd w:id="63"/>
      <w:bookmarkStart w:id="64" w:name="_Toc28758"/>
      <w:r>
        <w:rPr>
          <w:rFonts w:hint="eastAsia" w:ascii="楷体" w:hAnsi="楷体" w:eastAsia="楷体" w:cs="楷体"/>
          <w:b w:val="0"/>
          <w:bCs w:val="0"/>
          <w:color w:val="auto"/>
          <w:spacing w:val="0"/>
          <w:w w:val="100"/>
          <w:sz w:val="32"/>
          <w:szCs w:val="32"/>
        </w:rPr>
        <w:t>（</w:t>
      </w:r>
      <w:r>
        <w:rPr>
          <w:rFonts w:hint="eastAsia" w:ascii="楷体" w:hAnsi="楷体" w:eastAsia="楷体" w:cs="楷体"/>
          <w:b w:val="0"/>
          <w:bCs w:val="0"/>
          <w:color w:val="auto"/>
          <w:spacing w:val="0"/>
          <w:w w:val="100"/>
          <w:sz w:val="32"/>
          <w:szCs w:val="32"/>
          <w:lang w:val="en-US"/>
        </w:rPr>
        <w:t>二</w:t>
      </w:r>
      <w:r>
        <w:rPr>
          <w:rFonts w:hint="eastAsia" w:ascii="楷体" w:hAnsi="楷体" w:eastAsia="楷体" w:cs="楷体"/>
          <w:b w:val="0"/>
          <w:bCs w:val="0"/>
          <w:color w:val="auto"/>
          <w:spacing w:val="0"/>
          <w:w w:val="100"/>
          <w:sz w:val="32"/>
          <w:szCs w:val="32"/>
        </w:rPr>
        <w:t>）应急队伍保障</w:t>
      </w:r>
      <w:bookmarkEnd w:id="64"/>
    </w:p>
    <w:p w14:paraId="379D0F2C">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1.专业应急救援队伍</w:t>
      </w:r>
    </w:p>
    <w:p w14:paraId="1F5BC954">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公安、消防救援、应急管理部门做好专业救援队伍的管理和培训，确保可以迅速开展各类灾害事故的应急救援处置工作。</w:t>
      </w:r>
    </w:p>
    <w:p w14:paraId="1F4753CA">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2.兼职应急队伍</w:t>
      </w:r>
    </w:p>
    <w:p w14:paraId="0E662FAC">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各企事业单位均建立兼职救援队伍，针对突发事件类型定期组织演练，可以完成内部应急处置工作，还可以有组织地参加公共突发事件的应急救援。</w:t>
      </w:r>
    </w:p>
    <w:p w14:paraId="013F914F">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群众和志愿者应急救援队伍健全社会应急动员机制，发挥机关、学校、企事业单位、社会团体等力量的重要作用，鼓励志愿者应急救援队伍和民间应急救援队伍的发展，在应急处置工作中起到协助的作用。</w:t>
      </w:r>
    </w:p>
    <w:p w14:paraId="7EB64389">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65" w:name="（三）交通运输保障"/>
      <w:bookmarkEnd w:id="65"/>
      <w:bookmarkStart w:id="66" w:name="_Toc5377"/>
      <w:r>
        <w:rPr>
          <w:rFonts w:hint="eastAsia" w:ascii="楷体" w:hAnsi="楷体" w:eastAsia="楷体" w:cs="楷体"/>
          <w:b w:val="0"/>
          <w:bCs w:val="0"/>
          <w:color w:val="auto"/>
          <w:spacing w:val="0"/>
          <w:w w:val="100"/>
          <w:sz w:val="32"/>
          <w:szCs w:val="32"/>
        </w:rPr>
        <w:t>（三）交通运输保障</w:t>
      </w:r>
      <w:bookmarkEnd w:id="66"/>
    </w:p>
    <w:p w14:paraId="3149D5AF">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1.区城管局、交通运输企业等应负责保证应急交通工具的优先安排、优先调度。</w:t>
      </w:r>
    </w:p>
    <w:p w14:paraId="789763C7">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2.向阳交警大队负责现场及相关通道的交通管制，开设应急救援“绿色通道”，保证应急救援工作的顺利开展。</w:t>
      </w:r>
    </w:p>
    <w:p w14:paraId="62DBB4E3">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3.突发事件发生后，有关部门要迅速组织专业队伍抢修受损的道路、交通设施，确保应急物资和人员及时安全运达。</w:t>
      </w:r>
    </w:p>
    <w:p w14:paraId="21B76260">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67" w:name="（四）医疗卫生保障"/>
      <w:bookmarkEnd w:id="67"/>
      <w:bookmarkStart w:id="68" w:name="_Toc1734"/>
      <w:r>
        <w:rPr>
          <w:rFonts w:hint="eastAsia" w:ascii="楷体" w:hAnsi="楷体" w:eastAsia="楷体" w:cs="楷体"/>
          <w:b w:val="0"/>
          <w:bCs w:val="0"/>
          <w:color w:val="auto"/>
          <w:spacing w:val="0"/>
          <w:w w:val="100"/>
          <w:sz w:val="32"/>
          <w:szCs w:val="32"/>
        </w:rPr>
        <w:t>（四）医疗卫生保障</w:t>
      </w:r>
      <w:bookmarkEnd w:id="68"/>
    </w:p>
    <w:p w14:paraId="1345C4A9">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1.区卫健局负责组建医疗卫生应急专业技术队伍，组织实施应急处置工作中的伤病员救护、传染病预警、疾病预防控制、卫生监督监测和心理援助等工作。</w:t>
      </w:r>
    </w:p>
    <w:p w14:paraId="76963B51">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2.红十字会等社会力量参与医疗卫生救助工作。</w:t>
      </w:r>
    </w:p>
    <w:p w14:paraId="7C6E8DE7">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69" w:name="（五）应急物资保障"/>
      <w:bookmarkEnd w:id="69"/>
      <w:bookmarkStart w:id="70" w:name="_Toc22809"/>
      <w:r>
        <w:rPr>
          <w:rFonts w:hint="eastAsia" w:ascii="楷体" w:hAnsi="楷体" w:eastAsia="楷体" w:cs="楷体"/>
          <w:b w:val="0"/>
          <w:bCs w:val="0"/>
          <w:color w:val="auto"/>
          <w:spacing w:val="0"/>
          <w:w w:val="100"/>
          <w:sz w:val="32"/>
          <w:szCs w:val="32"/>
        </w:rPr>
        <w:t>（五）应急物资保障</w:t>
      </w:r>
      <w:bookmarkEnd w:id="70"/>
    </w:p>
    <w:p w14:paraId="3846E44F">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1.区政府应急指挥部对应急资源实行统筹管理，编制应急资源数据库。</w:t>
      </w:r>
    </w:p>
    <w:p w14:paraId="12B17B40">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w:t>
      </w:r>
      <w:r>
        <w:rPr>
          <w:rFonts w:hint="eastAsia" w:ascii="仿宋" w:hAnsi="仿宋" w:eastAsia="仿宋" w:cs="仿宋"/>
          <w:color w:val="auto"/>
          <w:spacing w:val="0"/>
          <w:w w:val="100"/>
          <w:sz w:val="32"/>
          <w:szCs w:val="32"/>
          <w:highlight w:val="none"/>
          <w:lang w:val="en-US" w:eastAsia="zh-CN" w:bidi="zh-CN"/>
        </w:rPr>
        <w:t>区相关负有应急管理责任的主管部门</w:t>
      </w:r>
      <w:r>
        <w:rPr>
          <w:rFonts w:hint="eastAsia" w:ascii="仿宋" w:hAnsi="仿宋" w:eastAsia="仿宋" w:cs="仿宋"/>
          <w:color w:val="auto"/>
          <w:spacing w:val="0"/>
          <w:w w:val="100"/>
          <w:sz w:val="32"/>
          <w:szCs w:val="32"/>
          <w:lang w:val="en-US" w:eastAsia="zh-CN" w:bidi="zh-CN"/>
        </w:rPr>
        <w:t>根据行业特点负责应急物资储备的综合工作，建立应急保障物资储备库，报区政府备案。</w:t>
      </w:r>
    </w:p>
    <w:p w14:paraId="3DD203D7">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有关部门按照职责分工，负责重要能源资源、基本生活用品、重要生活必需品、医用防护和消杀用品、药品和医疗器械、应急救援设备和工程抢险装备的储备、调用和征用工作；对一些特种或非常用的物资、器材和药品等应合理规划、动态储备。</w:t>
      </w:r>
    </w:p>
    <w:p w14:paraId="3CEA34C9">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71" w:name="（六）资金保障"/>
      <w:bookmarkEnd w:id="71"/>
      <w:bookmarkStart w:id="72" w:name="_Toc22123"/>
      <w:r>
        <w:rPr>
          <w:rFonts w:hint="eastAsia" w:ascii="楷体" w:hAnsi="楷体" w:eastAsia="楷体" w:cs="楷体"/>
          <w:b w:val="0"/>
          <w:bCs w:val="0"/>
          <w:color w:val="auto"/>
          <w:spacing w:val="0"/>
          <w:w w:val="100"/>
          <w:sz w:val="32"/>
          <w:szCs w:val="32"/>
        </w:rPr>
        <w:t>（六）资金保障</w:t>
      </w:r>
      <w:bookmarkEnd w:id="72"/>
    </w:p>
    <w:p w14:paraId="7FF7C926">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1.突发事件预防、预测、应急准备和救援工作所需资金，由有关部门提出，经区财政局审核后列入部门预算。财政部门按照规定设置预备费，保障突发事件处置需增加的经费。</w:t>
      </w:r>
    </w:p>
    <w:p w14:paraId="5FECB79B">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2.区财政局、区审计局等部门加强对突发事件财政应急资金使用情况的监管和评估，保证其科学、合理、有效使用。</w:t>
      </w:r>
    </w:p>
    <w:p w14:paraId="174C9871">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73" w:name="（七）人员个体防护"/>
      <w:bookmarkEnd w:id="73"/>
      <w:bookmarkStart w:id="74" w:name="_Toc32767"/>
      <w:r>
        <w:rPr>
          <w:rFonts w:hint="eastAsia" w:ascii="楷体" w:hAnsi="楷体" w:eastAsia="楷体" w:cs="楷体"/>
          <w:b w:val="0"/>
          <w:bCs w:val="0"/>
          <w:color w:val="auto"/>
          <w:spacing w:val="0"/>
          <w:w w:val="100"/>
          <w:sz w:val="32"/>
          <w:szCs w:val="32"/>
        </w:rPr>
        <w:t>（七）人员个体防护</w:t>
      </w:r>
      <w:bookmarkEnd w:id="74"/>
    </w:p>
    <w:p w14:paraId="7080E670">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highlight w:val="none"/>
          <w:lang w:val="en-US" w:eastAsia="zh-CN" w:bidi="zh-CN"/>
        </w:rPr>
        <w:t>区相关负有应急管理责任的主管部门</w:t>
      </w:r>
      <w:r>
        <w:rPr>
          <w:rFonts w:hint="eastAsia" w:ascii="仿宋" w:hAnsi="仿宋" w:eastAsia="仿宋" w:cs="仿宋"/>
          <w:color w:val="auto"/>
          <w:spacing w:val="0"/>
          <w:w w:val="100"/>
          <w:sz w:val="32"/>
          <w:szCs w:val="32"/>
          <w:lang w:val="en-US" w:eastAsia="zh-CN" w:bidi="zh-CN"/>
        </w:rPr>
        <w:t>为涉险人员和应急救援人员开展必要的安全防护培训，提供符合要求的作业和救援防护装备，采取必要的防护措施，严格按照程序开展应急处置工作，确保人员安全。</w:t>
      </w:r>
    </w:p>
    <w:p w14:paraId="1C154A28">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75" w:name="（八）技术保障"/>
      <w:bookmarkEnd w:id="75"/>
      <w:bookmarkStart w:id="76" w:name="_Toc25433"/>
      <w:r>
        <w:rPr>
          <w:rFonts w:hint="eastAsia" w:ascii="楷体" w:hAnsi="楷体" w:eastAsia="楷体" w:cs="楷体"/>
          <w:b w:val="0"/>
          <w:bCs w:val="0"/>
          <w:color w:val="auto"/>
          <w:spacing w:val="0"/>
          <w:w w:val="100"/>
          <w:sz w:val="32"/>
          <w:szCs w:val="32"/>
        </w:rPr>
        <w:t>（八）技术保障</w:t>
      </w:r>
      <w:bookmarkEnd w:id="76"/>
    </w:p>
    <w:p w14:paraId="77CA908F">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w:t>
      </w:r>
      <w:r>
        <w:rPr>
          <w:rFonts w:hint="eastAsia" w:ascii="仿宋" w:hAnsi="仿宋" w:eastAsia="仿宋" w:cs="仿宋"/>
          <w:color w:val="auto"/>
          <w:spacing w:val="0"/>
          <w:w w:val="100"/>
          <w:sz w:val="32"/>
          <w:szCs w:val="32"/>
          <w:highlight w:val="none"/>
          <w:lang w:val="en-US" w:eastAsia="zh-CN" w:bidi="zh-CN"/>
        </w:rPr>
        <w:t>区相关负有应急管理责任的主管部门</w:t>
      </w:r>
      <w:r>
        <w:rPr>
          <w:rFonts w:hint="eastAsia" w:ascii="仿宋" w:hAnsi="仿宋" w:eastAsia="仿宋" w:cs="仿宋"/>
          <w:color w:val="auto"/>
          <w:spacing w:val="0"/>
          <w:w w:val="100"/>
          <w:sz w:val="32"/>
          <w:szCs w:val="32"/>
          <w:lang w:val="en-US" w:eastAsia="zh-CN" w:bidi="zh-CN"/>
        </w:rPr>
        <w:t>应积极开展公共安全领域科研活动，加强公共安全预防、预警、预测和应急处置技术的研究开发，不断改进技术装备。</w:t>
      </w:r>
    </w:p>
    <w:p w14:paraId="3118A859">
      <w:pPr>
        <w:pStyle w:val="16"/>
        <w:keepNext w:val="0"/>
        <w:keepLines w:val="0"/>
        <w:pageBreakBefore w:val="0"/>
        <w:widowControl w:val="0"/>
        <w:tabs>
          <w:tab w:val="left" w:pos="1327"/>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2.根据应急处置工作的需要，会同有关部门调集有关专家和技术队伍支持应急处置工作。</w:t>
      </w:r>
    </w:p>
    <w:p w14:paraId="19FF357A">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黑体" w:hAnsi="黑体" w:eastAsia="黑体" w:cs="黑体"/>
          <w:b w:val="0"/>
          <w:bCs w:val="0"/>
          <w:color w:val="auto"/>
          <w:spacing w:val="0"/>
          <w:w w:val="100"/>
          <w:sz w:val="32"/>
          <w:lang w:val="en-US"/>
        </w:rPr>
      </w:pPr>
      <w:bookmarkStart w:id="77" w:name="五、后期处置"/>
      <w:bookmarkEnd w:id="77"/>
      <w:bookmarkStart w:id="78" w:name="_Toc2814"/>
      <w:r>
        <w:rPr>
          <w:rFonts w:hint="eastAsia" w:ascii="黑体" w:hAnsi="黑体" w:eastAsia="黑体" w:cs="黑体"/>
          <w:b w:val="0"/>
          <w:bCs w:val="0"/>
          <w:color w:val="auto"/>
          <w:spacing w:val="0"/>
          <w:w w:val="100"/>
          <w:sz w:val="32"/>
          <w:lang w:val="en-US"/>
        </w:rPr>
        <w:t>七</w:t>
      </w:r>
      <w:r>
        <w:rPr>
          <w:rFonts w:hint="eastAsia" w:ascii="黑体" w:hAnsi="黑体" w:eastAsia="黑体" w:cs="黑体"/>
          <w:b w:val="0"/>
          <w:bCs w:val="0"/>
          <w:color w:val="auto"/>
          <w:spacing w:val="0"/>
          <w:w w:val="100"/>
          <w:sz w:val="32"/>
        </w:rPr>
        <w:t>、</w:t>
      </w:r>
      <w:r>
        <w:rPr>
          <w:rFonts w:hint="eastAsia" w:ascii="黑体" w:hAnsi="黑体" w:eastAsia="黑体" w:cs="黑体"/>
          <w:b w:val="0"/>
          <w:bCs w:val="0"/>
          <w:color w:val="auto"/>
          <w:spacing w:val="0"/>
          <w:w w:val="100"/>
          <w:sz w:val="32"/>
          <w:lang w:val="en-US"/>
        </w:rPr>
        <w:t>恢复重建</w:t>
      </w:r>
      <w:bookmarkEnd w:id="78"/>
    </w:p>
    <w:p w14:paraId="6EB3464F">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79" w:name="（一）善后处置"/>
      <w:bookmarkEnd w:id="79"/>
      <w:bookmarkStart w:id="80" w:name="_Toc2336"/>
      <w:r>
        <w:rPr>
          <w:rFonts w:hint="eastAsia" w:ascii="楷体" w:hAnsi="楷体" w:eastAsia="楷体" w:cs="楷体"/>
          <w:b w:val="0"/>
          <w:bCs w:val="0"/>
          <w:color w:val="auto"/>
          <w:spacing w:val="0"/>
          <w:w w:val="100"/>
          <w:sz w:val="32"/>
          <w:szCs w:val="32"/>
        </w:rPr>
        <w:t>（一）善后处置</w:t>
      </w:r>
      <w:bookmarkEnd w:id="80"/>
    </w:p>
    <w:p w14:paraId="6E9D3F5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依照相关法律法规，突发事件善后处置工作由突发事件所在街道办事处、村屯负责，区政府和有关部门提供必要的人员、技术、物资、装备和资金等方面的支持。</w:t>
      </w:r>
    </w:p>
    <w:p w14:paraId="21946D3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1.人员安置。</w:t>
      </w:r>
      <w:r>
        <w:rPr>
          <w:rFonts w:hint="eastAsia" w:ascii="仿宋" w:hAnsi="仿宋" w:eastAsia="仿宋" w:cs="仿宋"/>
          <w:color w:val="auto"/>
          <w:spacing w:val="0"/>
          <w:w w:val="100"/>
          <w:sz w:val="32"/>
          <w:szCs w:val="32"/>
          <w:lang w:val="en-US" w:eastAsia="zh-CN" w:bidi="zh-CN"/>
        </w:rPr>
        <w:t>突发事件所在街道办事处、村屯迅速调查、核实受损情况，按照区相关部门政策性文件及相关工作要求，配合共同制定人员救助、抚慰、抚恤、临时安置等善后工作计划并组织实施，迅速开设灾民安置场所和救济物资供应站，做好灾民的安置工作。组织做好灾后的恢复和重建工作。</w:t>
      </w:r>
    </w:p>
    <w:p w14:paraId="562F7548">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2.收集清理、处理污染物。</w:t>
      </w:r>
      <w:r>
        <w:rPr>
          <w:rFonts w:hint="eastAsia" w:ascii="仿宋" w:hAnsi="仿宋" w:eastAsia="仿宋" w:cs="仿宋"/>
          <w:color w:val="auto"/>
          <w:spacing w:val="0"/>
          <w:w w:val="100"/>
          <w:sz w:val="32"/>
          <w:szCs w:val="32"/>
          <w:lang w:val="en-US" w:eastAsia="zh-CN" w:bidi="zh-CN"/>
        </w:rPr>
        <w:t>相关部门协助突发事件所在街道办事处、村屯做好突发事件现场的卫生消毒、疫情监测和食品、饮用水的卫生监督、清理清除污染物工作，防止次生、衍生事件发生。</w:t>
      </w:r>
    </w:p>
    <w:p w14:paraId="75B326DE">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3.补偿。</w:t>
      </w:r>
      <w:r>
        <w:rPr>
          <w:rFonts w:hint="eastAsia" w:ascii="仿宋" w:hAnsi="仿宋" w:eastAsia="仿宋" w:cs="仿宋"/>
          <w:color w:val="auto"/>
          <w:spacing w:val="0"/>
          <w:w w:val="100"/>
          <w:sz w:val="32"/>
          <w:szCs w:val="32"/>
          <w:lang w:val="en-US" w:eastAsia="zh-CN" w:bidi="zh-CN"/>
        </w:rPr>
        <w:t>对紧急调集、征用有关单位及个人的物资应当按照规定给予补偿。</w:t>
      </w:r>
    </w:p>
    <w:p w14:paraId="74E6F913">
      <w:pPr>
        <w:pStyle w:val="16"/>
        <w:keepNext w:val="0"/>
        <w:keepLines w:val="0"/>
        <w:pageBreakBefore w:val="0"/>
        <w:widowControl w:val="0"/>
        <w:tabs>
          <w:tab w:val="left" w:pos="923"/>
        </w:tabs>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pacing w:val="0"/>
          <w:w w:val="100"/>
          <w:sz w:val="32"/>
          <w:szCs w:val="32"/>
          <w:lang w:val="en-US" w:eastAsia="zh-CN" w:bidi="zh-CN"/>
        </w:rPr>
      </w:pPr>
      <w:r>
        <w:rPr>
          <w:rFonts w:hint="eastAsia" w:ascii="仿宋" w:hAnsi="仿宋" w:eastAsia="仿宋" w:cs="仿宋"/>
          <w:b/>
          <w:bCs/>
          <w:color w:val="auto"/>
          <w:spacing w:val="0"/>
          <w:w w:val="100"/>
          <w:sz w:val="32"/>
          <w:szCs w:val="32"/>
          <w:lang w:val="en-US" w:eastAsia="zh-CN" w:bidi="zh-CN"/>
        </w:rPr>
        <w:t>4.事故责任人应对事故损害进行赔偿，并承担善后处置费用。</w:t>
      </w:r>
    </w:p>
    <w:p w14:paraId="5BEE336E">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81" w:name="（二）社会救助"/>
      <w:bookmarkEnd w:id="81"/>
      <w:bookmarkStart w:id="82" w:name="_Toc12535"/>
      <w:r>
        <w:rPr>
          <w:rFonts w:hint="eastAsia" w:ascii="楷体" w:hAnsi="楷体" w:eastAsia="楷体" w:cs="楷体"/>
          <w:b w:val="0"/>
          <w:bCs w:val="0"/>
          <w:color w:val="auto"/>
          <w:spacing w:val="0"/>
          <w:w w:val="100"/>
          <w:sz w:val="32"/>
          <w:szCs w:val="32"/>
        </w:rPr>
        <w:t>（二）社会救助</w:t>
      </w:r>
      <w:bookmarkEnd w:id="82"/>
    </w:p>
    <w:p w14:paraId="5C37E198">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1.鼓励公民、法人和其他组织参与社会救助，鼓励和支持公众、社会组织间的自救互助。</w:t>
      </w:r>
    </w:p>
    <w:p w14:paraId="66D66DDE">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2.通过新闻媒体公布突发事件造成的损失情况，确定受援区域和接受捐赠机构，提倡、鼓励企事业单位和个人为恢复重建工作捐赠资金和物资。</w:t>
      </w:r>
    </w:p>
    <w:p w14:paraId="4B41BBD5">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3.红十字会等公益性社会团体和组织，可以根据需要依法开展募捐活动。</w:t>
      </w:r>
    </w:p>
    <w:p w14:paraId="33CFC095">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83" w:name="_Toc3694"/>
      <w:r>
        <w:rPr>
          <w:rFonts w:hint="eastAsia" w:ascii="楷体" w:hAnsi="楷体" w:eastAsia="楷体" w:cs="楷体"/>
          <w:b w:val="0"/>
          <w:bCs w:val="0"/>
          <w:color w:val="auto"/>
          <w:spacing w:val="0"/>
          <w:w w:val="100"/>
          <w:sz w:val="32"/>
          <w:szCs w:val="32"/>
        </w:rPr>
        <w:t>（三）保险赔付</w:t>
      </w:r>
      <w:bookmarkEnd w:id="83"/>
    </w:p>
    <w:p w14:paraId="441BE4AD">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1.灾害事故发生后，保险监管机构应当组织、督促有关保险机构及时开展查勘和理赔工作。</w:t>
      </w:r>
    </w:p>
    <w:p w14:paraId="7D20A4CC">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2.工伤保险经办机构要及时为在应急工作中因工伤亡人员足额支付工伤保险费用。</w:t>
      </w:r>
    </w:p>
    <w:p w14:paraId="685F3226">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84" w:name="（四）心理干预"/>
      <w:bookmarkEnd w:id="84"/>
      <w:bookmarkStart w:id="85" w:name="_Toc1022"/>
      <w:r>
        <w:rPr>
          <w:rFonts w:hint="eastAsia" w:ascii="楷体" w:hAnsi="楷体" w:eastAsia="楷体" w:cs="楷体"/>
          <w:b w:val="0"/>
          <w:bCs w:val="0"/>
          <w:color w:val="auto"/>
          <w:spacing w:val="0"/>
          <w:w w:val="100"/>
          <w:sz w:val="32"/>
          <w:szCs w:val="32"/>
        </w:rPr>
        <w:t>（四）心理干预</w:t>
      </w:r>
      <w:bookmarkEnd w:id="85"/>
    </w:p>
    <w:p w14:paraId="2713C861">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_GB2312" w:hAnsi="仿宋_GB2312" w:eastAsia="仿宋_GB2312" w:cs="仿宋_GB2312"/>
          <w:color w:val="auto"/>
          <w:spacing w:val="0"/>
          <w:w w:val="100"/>
          <w:sz w:val="32"/>
          <w:szCs w:val="32"/>
          <w:lang w:val="en-US"/>
        </w:rPr>
      </w:pPr>
      <w:r>
        <w:rPr>
          <w:rFonts w:hint="eastAsia" w:ascii="仿宋" w:hAnsi="仿宋" w:eastAsia="仿宋" w:cs="仿宋"/>
          <w:color w:val="auto"/>
          <w:spacing w:val="0"/>
          <w:w w:val="100"/>
          <w:sz w:val="32"/>
          <w:szCs w:val="32"/>
          <w:lang w:val="en-US" w:eastAsia="zh-CN" w:bidi="zh-CN"/>
        </w:rPr>
        <w:t>区教育局、区卫健局等部门要采取心理干预措施，及时采取心理咨询、心理辅导、慰问等有效措施，努力减少、消除突发事件已经或可能给人们造成的精神创伤，防止出现灾后群体性心理危机。</w:t>
      </w:r>
    </w:p>
    <w:p w14:paraId="3CFAEC48">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86" w:name="（五）恢复重建"/>
      <w:bookmarkEnd w:id="86"/>
      <w:bookmarkStart w:id="87" w:name="_Toc4770"/>
      <w:r>
        <w:rPr>
          <w:rFonts w:hint="eastAsia" w:ascii="楷体" w:hAnsi="楷体" w:eastAsia="楷体" w:cs="楷体"/>
          <w:b w:val="0"/>
          <w:bCs w:val="0"/>
          <w:color w:val="auto"/>
          <w:spacing w:val="0"/>
          <w:w w:val="100"/>
          <w:sz w:val="32"/>
          <w:szCs w:val="32"/>
        </w:rPr>
        <w:t>（五）恢复重建</w:t>
      </w:r>
      <w:bookmarkEnd w:id="87"/>
    </w:p>
    <w:p w14:paraId="01476518">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1.突发事件所在街道办事处、村屯和相关部门负责组织对受灾地区受损情况进行评估，配合相关部门共同制定灾后重建和恢复生产经营计划、生活计划，组织开展灾后自救，并向区政府报告。</w:t>
      </w:r>
    </w:p>
    <w:p w14:paraId="2AFE0284">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2.区委、区政府及时组织区发改局、区财政局、区住建局、区工信局等有关部门制定政策措施，尽快修复被破坏的基础设施。</w:t>
      </w:r>
    </w:p>
    <w:p w14:paraId="6DB34FA7">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楷体_GB2312" w:hAnsi="楷体_GB2312" w:eastAsia="楷体_GB2312" w:cs="楷体_GB2312"/>
          <w:b/>
          <w:bCs/>
          <w:color w:val="auto"/>
          <w:spacing w:val="0"/>
          <w:w w:val="100"/>
          <w:sz w:val="32"/>
          <w:szCs w:val="32"/>
          <w:lang w:val="en-US"/>
        </w:rPr>
      </w:pPr>
      <w:r>
        <w:rPr>
          <w:rFonts w:hint="eastAsia" w:ascii="仿宋" w:hAnsi="仿宋" w:eastAsia="仿宋" w:cs="仿宋"/>
          <w:color w:val="auto"/>
          <w:spacing w:val="0"/>
          <w:w w:val="100"/>
          <w:sz w:val="32"/>
          <w:szCs w:val="32"/>
          <w:lang w:val="en-US" w:eastAsia="zh-CN" w:bidi="zh-CN"/>
        </w:rPr>
        <w:t>3.区政府根据损失评估报告、灾区的实际情况与需要，提供资金、物资支持和技术指导。必要时上报市委、市政府，申请资金、技术支援</w:t>
      </w:r>
      <w:r>
        <w:rPr>
          <w:rFonts w:hint="eastAsia" w:ascii="仿宋_GB2312" w:hAnsi="仿宋_GB2312" w:eastAsia="仿宋_GB2312" w:cs="仿宋_GB2312"/>
          <w:color w:val="auto"/>
          <w:spacing w:val="0"/>
          <w:w w:val="100"/>
          <w:sz w:val="32"/>
          <w:szCs w:val="32"/>
          <w:lang w:val="en-US"/>
        </w:rPr>
        <w:t>。</w:t>
      </w:r>
    </w:p>
    <w:p w14:paraId="1303ACE0">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rPr>
      </w:pPr>
      <w:bookmarkStart w:id="88" w:name="（六）调查评估"/>
      <w:bookmarkEnd w:id="88"/>
      <w:bookmarkStart w:id="89" w:name="_Toc3376"/>
      <w:r>
        <w:rPr>
          <w:rFonts w:hint="eastAsia" w:ascii="楷体" w:hAnsi="楷体" w:eastAsia="楷体" w:cs="楷体"/>
          <w:b w:val="0"/>
          <w:bCs w:val="0"/>
          <w:color w:val="auto"/>
          <w:spacing w:val="0"/>
          <w:w w:val="100"/>
          <w:sz w:val="32"/>
          <w:szCs w:val="32"/>
        </w:rPr>
        <w:t>（六）调查评估</w:t>
      </w:r>
      <w:bookmarkEnd w:id="89"/>
    </w:p>
    <w:p w14:paraId="0F0BB82A">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1.突发事件处置完毕后，区政府应指派突发事件应急责任部门、突发事件所在街道办事处、村屯、其他有关部门组成调查组，按照相关法律法规、规章等规定开展突发事件调查、应急救援评估工作。</w:t>
      </w:r>
    </w:p>
    <w:p w14:paraId="4FA4CBDE">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2.调查组对突发事件发生的起因、性质、影响、后果、责任和应急决策能力、现场处置能力、保障能力、恢复重建能力等进行调查评估，总结经验教训，提出防范和改进措施，并向区政府报告。</w:t>
      </w:r>
    </w:p>
    <w:p w14:paraId="002DEEBA">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3.有关部门应于每年一季度对上年度发生的突发事件进行全面评估，上报区政府，并抄送相关类别突发事件的市主管部门。</w:t>
      </w:r>
    </w:p>
    <w:p w14:paraId="7D2BF855">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0" w:firstLineChars="200"/>
        <w:jc w:val="both"/>
        <w:textAlignment w:val="auto"/>
        <w:rPr>
          <w:rFonts w:hint="eastAsia" w:ascii="黑体" w:hAnsi="黑体" w:eastAsia="黑体" w:cs="黑体"/>
          <w:b w:val="0"/>
          <w:bCs w:val="0"/>
          <w:color w:val="auto"/>
          <w:spacing w:val="0"/>
          <w:w w:val="100"/>
          <w:sz w:val="32"/>
          <w:lang w:val="en-US"/>
        </w:rPr>
      </w:pPr>
      <w:bookmarkStart w:id="90" w:name="七、监督管理"/>
      <w:bookmarkEnd w:id="90"/>
      <w:bookmarkStart w:id="91" w:name="六、应急保障"/>
      <w:bookmarkEnd w:id="91"/>
      <w:bookmarkStart w:id="92" w:name="_Toc3274"/>
      <w:r>
        <w:rPr>
          <w:rFonts w:hint="eastAsia" w:ascii="黑体" w:hAnsi="黑体" w:eastAsia="黑体" w:cs="黑体"/>
          <w:b w:val="0"/>
          <w:bCs w:val="0"/>
          <w:color w:val="auto"/>
          <w:spacing w:val="0"/>
          <w:w w:val="100"/>
          <w:sz w:val="32"/>
          <w:lang w:val="en-US"/>
        </w:rPr>
        <w:t>八</w:t>
      </w:r>
      <w:r>
        <w:rPr>
          <w:rFonts w:hint="eastAsia" w:ascii="黑体" w:hAnsi="黑体" w:eastAsia="黑体" w:cs="黑体"/>
          <w:b w:val="0"/>
          <w:bCs w:val="0"/>
          <w:color w:val="auto"/>
          <w:spacing w:val="0"/>
          <w:w w:val="100"/>
          <w:sz w:val="32"/>
        </w:rPr>
        <w:t>、</w:t>
      </w:r>
      <w:r>
        <w:rPr>
          <w:rFonts w:hint="eastAsia" w:ascii="黑体" w:hAnsi="黑体" w:eastAsia="黑体" w:cs="黑体"/>
          <w:b w:val="0"/>
          <w:bCs w:val="0"/>
          <w:color w:val="auto"/>
          <w:spacing w:val="0"/>
          <w:w w:val="100"/>
          <w:sz w:val="32"/>
          <w:lang w:val="en-US"/>
        </w:rPr>
        <w:t>预案管理</w:t>
      </w:r>
      <w:bookmarkEnd w:id="92"/>
    </w:p>
    <w:p w14:paraId="1AE2DFE0">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rPr>
      </w:pPr>
      <w:bookmarkStart w:id="93" w:name="（一）预案编制"/>
      <w:bookmarkEnd w:id="93"/>
      <w:bookmarkStart w:id="94" w:name="_Toc22555"/>
      <w:r>
        <w:rPr>
          <w:rFonts w:hint="eastAsia" w:ascii="楷体" w:hAnsi="楷体" w:eastAsia="楷体" w:cs="楷体"/>
          <w:b w:val="0"/>
          <w:bCs w:val="0"/>
          <w:color w:val="auto"/>
          <w:spacing w:val="0"/>
          <w:w w:val="100"/>
          <w:sz w:val="32"/>
          <w:szCs w:val="32"/>
          <w:lang w:val="en-US"/>
        </w:rPr>
        <w:t>（一）预案编制</w:t>
      </w:r>
      <w:bookmarkEnd w:id="94"/>
    </w:p>
    <w:p w14:paraId="0CB35424">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本预案由区应急局牵头组织编制，经区政府常务会议审议后，以区政府名义印发各相关部门执行。印发20个工作日内，区应急局负责按照规定报市政府相关部门备案。</w:t>
      </w:r>
    </w:p>
    <w:p w14:paraId="56AFB2A8">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专项应急预案由相应突发事件应急责任部门编制，经区政府审批。必要时经区政府常务会议或专题会议审议，以区政府办公室名义印发各相关部门执行。印发20个工作日内，由相应突发事件应急责任部门负责按照规定报市政府相应主管部门备案。</w:t>
      </w:r>
    </w:p>
    <w:p w14:paraId="2D65BF1C">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部门应急预案经部门有关会议审议，以部门名义印发，印发20个工作日内报区政府</w:t>
      </w:r>
      <w:r>
        <w:rPr>
          <w:rFonts w:hint="eastAsia" w:ascii="仿宋" w:hAnsi="仿宋" w:eastAsia="仿宋" w:cs="仿宋"/>
          <w:color w:val="auto"/>
          <w:spacing w:val="0"/>
          <w:w w:val="100"/>
          <w:sz w:val="32"/>
          <w:szCs w:val="32"/>
          <w:highlight w:val="none"/>
          <w:lang w:val="en-US" w:eastAsia="zh-CN" w:bidi="zh-CN"/>
        </w:rPr>
        <w:t>（应急部门）</w:t>
      </w:r>
      <w:r>
        <w:rPr>
          <w:rFonts w:hint="eastAsia" w:ascii="仿宋" w:hAnsi="仿宋" w:eastAsia="仿宋" w:cs="仿宋"/>
          <w:color w:val="auto"/>
          <w:spacing w:val="0"/>
          <w:w w:val="100"/>
          <w:sz w:val="32"/>
          <w:szCs w:val="32"/>
          <w:lang w:val="en-US" w:eastAsia="zh-CN" w:bidi="zh-CN"/>
        </w:rPr>
        <w:t>备案。</w:t>
      </w:r>
    </w:p>
    <w:p w14:paraId="3361541D">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单位和街道、村屯的应急预案由本单位或街道、村屯的主要负责人或分管负责人签发，以编制单位名义印发。印发20个工作日内报区政府和市相关业务部门备案。</w:t>
      </w:r>
    </w:p>
    <w:p w14:paraId="37E4A631">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生产经营单位应急预案经有关会议审议，由本单位主要负责人签发。印发20个工作日内报主管部门和相关部门备案。</w:t>
      </w:r>
    </w:p>
    <w:p w14:paraId="59C86E7B">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重大活动应急预案由活动主办方或承办单位印发。在活动举行前15日内报区应急局、向阳公安分局备案。</w:t>
      </w:r>
    </w:p>
    <w:p w14:paraId="794345DD">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应急预案编制应当在风险评估和应急资源调查的基础上进行，编制过程中应广泛听取相关部门、单位和专家的意见。必要时向社会公开征求意见，确保应急预案的完整性、针对性和可操作性。</w:t>
      </w:r>
    </w:p>
    <w:p w14:paraId="24DC1FAE">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rPr>
      </w:pPr>
      <w:bookmarkStart w:id="95" w:name="（二）预案演练"/>
      <w:bookmarkEnd w:id="95"/>
      <w:bookmarkStart w:id="96" w:name="_Toc4088"/>
      <w:r>
        <w:rPr>
          <w:rFonts w:hint="eastAsia" w:ascii="楷体" w:hAnsi="楷体" w:eastAsia="楷体" w:cs="楷体"/>
          <w:b w:val="0"/>
          <w:bCs w:val="0"/>
          <w:color w:val="auto"/>
          <w:spacing w:val="0"/>
          <w:w w:val="100"/>
          <w:sz w:val="32"/>
          <w:szCs w:val="32"/>
          <w:lang w:val="en-US"/>
        </w:rPr>
        <w:t>（二）预案演练</w:t>
      </w:r>
      <w:bookmarkEnd w:id="96"/>
    </w:p>
    <w:p w14:paraId="2BB81B5F">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1.应急预案编制单位应建立健全应急演练制度，根据实际情况采取实战演练、模拟演练、桌面推演等方式，组织开展人员广泛参与、针对性强，处置联动性强、形式多样、节约高效的应急演练。</w:t>
      </w:r>
    </w:p>
    <w:p w14:paraId="50FED816">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2.专项应急预案、部门应急预案至少每3年进行一次应急演练。</w:t>
      </w:r>
    </w:p>
    <w:p w14:paraId="5BB4B642">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重要基础设施和城区生命线工程经营管理单位，重点工程施工单位和易燃易爆物品、危险化学品、放射性物品等危险物品生产、经营、运输、储备、使用单位，公共场所和医院、学校等人员密集场所的经营单位或管理单位等，应每年开展1次有针对性的应急演练。</w:t>
      </w:r>
    </w:p>
    <w:p w14:paraId="3EC0DBE4">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4.重大活动应急预案应在活动举办之前至少开展1次综合性演练。</w:t>
      </w:r>
    </w:p>
    <w:p w14:paraId="07C09279">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5.应急预案演练前，组织实施演练的部门（单位）必须制定应急预案演练方案，并在演练开始前20天报政府应急局备案。</w:t>
      </w:r>
    </w:p>
    <w:p w14:paraId="01BFDADE">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6.应急演练组织单位应当组织演练评估。</w:t>
      </w:r>
    </w:p>
    <w:p w14:paraId="383C1EE3">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rPr>
      </w:pPr>
      <w:bookmarkStart w:id="97" w:name="（三）宣传教育培训"/>
      <w:bookmarkEnd w:id="97"/>
      <w:bookmarkStart w:id="98" w:name="_Toc29283"/>
      <w:r>
        <w:rPr>
          <w:rFonts w:hint="eastAsia" w:ascii="楷体" w:hAnsi="楷体" w:eastAsia="楷体" w:cs="楷体"/>
          <w:b w:val="0"/>
          <w:bCs w:val="0"/>
          <w:color w:val="auto"/>
          <w:spacing w:val="0"/>
          <w:w w:val="100"/>
          <w:sz w:val="32"/>
          <w:szCs w:val="32"/>
          <w:lang w:val="en-US"/>
        </w:rPr>
        <w:t>（三）宣传教育培训</w:t>
      </w:r>
      <w:bookmarkEnd w:id="98"/>
    </w:p>
    <w:p w14:paraId="7579B2B2">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1.政府有关部门应将应急预案培训作为应急管理培训的重要内容，纳入领导干部培训、公务员培训、应急管理干部日常培训内容。</w:t>
      </w:r>
    </w:p>
    <w:p w14:paraId="58C94B67">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2.应急预案印发（转发）后1个月内，应急预案编制单位应当通过编发培训材料、举办培训班、开展工作研讨等方式，对与应急预案实施密切相关的管理人员和专业救援人员等组织开展应急预案培训。</w:t>
      </w:r>
    </w:p>
    <w:p w14:paraId="3D5E8842">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突发事件应急预案管理主体责任部门要采取多种、有效的途径，加强突发事件应急处置的有关法律法规和政策的宣传，广泛开展突发事件预防、预警、避险、自救、互救和减灾等应急救援知识的普及工作，增强公众的社会责任意识和自救互救能力，提高公众的自我防范和社会救助能力。</w:t>
      </w:r>
    </w:p>
    <w:p w14:paraId="6E9E1DA5">
      <w:pPr>
        <w:pStyle w:val="16"/>
        <w:keepNext w:val="0"/>
        <w:keepLines w:val="0"/>
        <w:pageBreakBefore w:val="0"/>
        <w:widowControl w:val="0"/>
        <w:tabs>
          <w:tab w:val="left" w:pos="952"/>
        </w:tabs>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4.各级各类学校要适时开展突发事件预防和应急救助等方面的教育。</w:t>
      </w:r>
    </w:p>
    <w:p w14:paraId="42E442B2">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rPr>
      </w:pPr>
      <w:bookmarkStart w:id="99" w:name="（四）责任与奖惩"/>
      <w:bookmarkEnd w:id="99"/>
      <w:bookmarkStart w:id="100" w:name="_Toc26315"/>
      <w:r>
        <w:rPr>
          <w:rFonts w:hint="eastAsia" w:ascii="楷体" w:hAnsi="楷体" w:eastAsia="楷体" w:cs="楷体"/>
          <w:b w:val="0"/>
          <w:bCs w:val="0"/>
          <w:color w:val="auto"/>
          <w:spacing w:val="0"/>
          <w:w w:val="100"/>
          <w:sz w:val="32"/>
          <w:szCs w:val="32"/>
          <w:lang w:val="en-US"/>
        </w:rPr>
        <w:t>（四）责任与奖惩</w:t>
      </w:r>
      <w:bookmarkEnd w:id="100"/>
    </w:p>
    <w:p w14:paraId="49DF74F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区政府及有关部门依据法律法规及有关规定，对在突发事件应急救援工作中有突出贡献的单位和个人给予表扬和奖励；对失职、渎职的有关人员追究责任，构成犯罪的，依法追究刑事责任。</w:t>
      </w:r>
    </w:p>
    <w:p w14:paraId="1C96FA74">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rPr>
      </w:pPr>
      <w:bookmarkStart w:id="101" w:name="（五）预案更新"/>
      <w:bookmarkEnd w:id="101"/>
      <w:bookmarkStart w:id="102" w:name="_Toc18826"/>
      <w:r>
        <w:rPr>
          <w:rFonts w:hint="eastAsia" w:ascii="楷体" w:hAnsi="楷体" w:eastAsia="楷体" w:cs="楷体"/>
          <w:b w:val="0"/>
          <w:bCs w:val="0"/>
          <w:color w:val="auto"/>
          <w:spacing w:val="0"/>
          <w:w w:val="100"/>
          <w:sz w:val="32"/>
          <w:szCs w:val="32"/>
          <w:lang w:val="en-US"/>
        </w:rPr>
        <w:t>（五）预案更新</w:t>
      </w:r>
      <w:bookmarkEnd w:id="102"/>
    </w:p>
    <w:p w14:paraId="6712FBF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应急预案编制单位应当建立定期评估制度，分析评价预案内容的针对性、实用性和可操作性，实现应急预案的动态优化和科学规范管理。制定应急预案的单位应当根据实际需要，结合情势变化，适时修订、完善应急预案。</w:t>
      </w:r>
    </w:p>
    <w:p w14:paraId="5E5A46E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有下列情形之一的，及时修订：</w:t>
      </w:r>
    </w:p>
    <w:p w14:paraId="485E903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1.有关法律、行政法规、规章、标准、上位预案中的有关规定发生变化的；</w:t>
      </w:r>
    </w:p>
    <w:p w14:paraId="6ECE68D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2.应急指挥机构及其职责发生重大调整的；</w:t>
      </w:r>
    </w:p>
    <w:p w14:paraId="7F98CD0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3.面临的风险发生重大变化的；</w:t>
      </w:r>
    </w:p>
    <w:p w14:paraId="23FF80E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4.重要应急资源发生重大变化的；</w:t>
      </w:r>
    </w:p>
    <w:p w14:paraId="1C0110A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5.预案中的其他重要信息发生变化的；</w:t>
      </w:r>
    </w:p>
    <w:p w14:paraId="6FE7F43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6.在突发事件实际应对和应急演练中发现问题需要做出重大调整的；</w:t>
      </w:r>
    </w:p>
    <w:p w14:paraId="3090A1E5">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7.应急预案制定单位认为应当修订的其他情况。</w:t>
      </w:r>
    </w:p>
    <w:p w14:paraId="379FA5C9">
      <w:pPr>
        <w:pStyle w:val="3"/>
        <w:keepNext w:val="0"/>
        <w:keepLines w:val="0"/>
        <w:pageBreakBefore w:val="0"/>
        <w:widowControl w:val="0"/>
        <w:kinsoku/>
        <w:wordWrap/>
        <w:overflowPunct/>
        <w:topLinePunct w:val="0"/>
        <w:autoSpaceDE w:val="0"/>
        <w:autoSpaceDN w:val="0"/>
        <w:bidi w:val="0"/>
        <w:adjustRightInd w:val="0"/>
        <w:snapToGrid w:val="0"/>
        <w:spacing w:before="0" w:line="560" w:lineRule="exact"/>
        <w:ind w:left="0" w:firstLine="640" w:firstLineChars="200"/>
        <w:jc w:val="both"/>
        <w:textAlignment w:val="auto"/>
        <w:rPr>
          <w:rFonts w:hint="eastAsia" w:ascii="楷体" w:hAnsi="楷体" w:eastAsia="楷体" w:cs="楷体"/>
          <w:b w:val="0"/>
          <w:bCs w:val="0"/>
          <w:color w:val="auto"/>
          <w:spacing w:val="0"/>
          <w:w w:val="100"/>
          <w:sz w:val="32"/>
          <w:szCs w:val="32"/>
          <w:lang w:val="en-US"/>
        </w:rPr>
      </w:pPr>
      <w:bookmarkStart w:id="103" w:name="（六）生效"/>
      <w:bookmarkEnd w:id="103"/>
      <w:bookmarkStart w:id="104" w:name="_Toc26775"/>
      <w:r>
        <w:rPr>
          <w:rFonts w:hint="eastAsia" w:ascii="楷体" w:hAnsi="楷体" w:eastAsia="楷体" w:cs="楷体"/>
          <w:b w:val="0"/>
          <w:bCs w:val="0"/>
          <w:color w:val="auto"/>
          <w:spacing w:val="0"/>
          <w:w w:val="100"/>
          <w:sz w:val="32"/>
          <w:szCs w:val="32"/>
          <w:lang w:val="en-US"/>
        </w:rPr>
        <w:t>（六）生效</w:t>
      </w:r>
      <w:bookmarkEnd w:id="104"/>
    </w:p>
    <w:p w14:paraId="02A7D07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pacing w:val="0"/>
          <w:w w:val="100"/>
          <w:sz w:val="32"/>
          <w:szCs w:val="32"/>
          <w:lang w:val="en-US" w:eastAsia="zh-CN" w:bidi="zh-CN"/>
        </w:rPr>
      </w:pPr>
      <w:r>
        <w:rPr>
          <w:rFonts w:hint="eastAsia" w:ascii="仿宋" w:hAnsi="仿宋" w:eastAsia="仿宋" w:cs="仿宋"/>
          <w:color w:val="auto"/>
          <w:spacing w:val="0"/>
          <w:w w:val="100"/>
          <w:sz w:val="32"/>
          <w:szCs w:val="32"/>
          <w:lang w:val="en-US" w:eastAsia="zh-CN" w:bidi="zh-CN"/>
        </w:rPr>
        <w:t>本预案经区政府常务会议审议、批准，自印发之日起生效。</w:t>
      </w:r>
    </w:p>
    <w:p w14:paraId="23CE9A3F">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color w:val="auto"/>
          <w:spacing w:val="0"/>
          <w:sz w:val="32"/>
          <w:szCs w:val="32"/>
          <w:lang w:eastAsia="zh-CN"/>
        </w:rPr>
      </w:pPr>
      <w:bookmarkStart w:id="105" w:name="_Toc6564"/>
      <w:bookmarkStart w:id="106" w:name="_Toc24583"/>
      <w:r>
        <w:rPr>
          <w:rFonts w:hint="eastAsia" w:ascii="黑体" w:hAnsi="黑体" w:eastAsia="黑体" w:cs="黑体"/>
          <w:color w:val="auto"/>
          <w:spacing w:val="0"/>
          <w:sz w:val="32"/>
          <w:szCs w:val="32"/>
          <w:lang w:eastAsia="zh-CN"/>
        </w:rPr>
        <w:t>九、附件</w:t>
      </w:r>
      <w:bookmarkEnd w:id="105"/>
      <w:bookmarkEnd w:id="106"/>
    </w:p>
    <w:p w14:paraId="34872FD1">
      <w:pPr>
        <w:pStyle w:val="18"/>
        <w:rPr>
          <w:rFonts w:hint="eastAsia" w:ascii="仿宋" w:hAnsi="仿宋" w:eastAsia="仿宋" w:cs="仿宋"/>
          <w:b w:val="0"/>
          <w:bCs w:val="0"/>
          <w:color w:val="auto"/>
          <w:spacing w:val="0"/>
          <w:sz w:val="32"/>
          <w:szCs w:val="32"/>
          <w:lang w:val="zh-CN" w:eastAsia="zh-CN" w:bidi="zh-CN"/>
        </w:rPr>
        <w:sectPr>
          <w:footerReference r:id="rId5" w:type="default"/>
          <w:pgSz w:w="11910" w:h="16840"/>
          <w:pgMar w:top="1540" w:right="1340" w:bottom="1320" w:left="1480" w:header="0" w:footer="1135" w:gutter="0"/>
          <w:pgNumType w:fmt="decimal" w:start="1"/>
          <w:cols w:space="720" w:num="1"/>
        </w:sectPr>
      </w:pPr>
      <w:bookmarkStart w:id="107" w:name="_Toc12449"/>
      <w:r>
        <w:rPr>
          <w:rFonts w:hint="eastAsia" w:ascii="仿宋" w:hAnsi="仿宋" w:eastAsia="仿宋" w:cs="仿宋"/>
          <w:b w:val="0"/>
          <w:bCs w:val="0"/>
          <w:color w:val="auto"/>
          <w:spacing w:val="0"/>
          <w:sz w:val="32"/>
          <w:szCs w:val="32"/>
          <w:lang w:eastAsia="zh-CN"/>
        </w:rPr>
        <w:t>附件：</w:t>
      </w:r>
      <w:bookmarkEnd w:id="107"/>
      <w:r>
        <w:rPr>
          <w:rFonts w:hint="eastAsia" w:ascii="仿宋" w:hAnsi="仿宋" w:eastAsia="仿宋" w:cs="仿宋"/>
          <w:b w:val="0"/>
          <w:bCs w:val="0"/>
          <w:color w:val="auto"/>
          <w:spacing w:val="0"/>
          <w:sz w:val="32"/>
          <w:szCs w:val="32"/>
          <w:lang w:val="zh-CN" w:eastAsia="zh-CN" w:bidi="zh-CN"/>
        </w:rPr>
        <w:t>风险分级管控及评价方法</w:t>
      </w:r>
    </w:p>
    <w:p w14:paraId="78B15C2C">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both"/>
        <w:textAlignment w:val="baseline"/>
        <w:outlineLvl w:val="0"/>
        <w:rPr>
          <w:rFonts w:hint="eastAsia" w:ascii="黑体" w:hAnsi="黑体" w:eastAsia="黑体" w:cs="黑体"/>
          <w:color w:val="auto"/>
          <w:spacing w:val="0"/>
          <w:sz w:val="32"/>
          <w:szCs w:val="32"/>
          <w:lang w:val="en-US" w:eastAsia="zh-CN"/>
        </w:rPr>
      </w:pPr>
      <w:bookmarkStart w:id="108" w:name="_Toc15518"/>
      <w:r>
        <w:rPr>
          <w:rFonts w:hint="eastAsia" w:ascii="黑体" w:hAnsi="黑体" w:eastAsia="黑体" w:cs="黑体"/>
          <w:color w:val="auto"/>
          <w:spacing w:val="0"/>
          <w:sz w:val="32"/>
          <w:szCs w:val="32"/>
          <w:lang w:val="en-US" w:eastAsia="zh-CN"/>
        </w:rPr>
        <w:t>附件</w:t>
      </w:r>
      <w:bookmarkEnd w:id="108"/>
    </w:p>
    <w:p w14:paraId="0022115D">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outlineLvl w:val="0"/>
        <w:rPr>
          <w:rFonts w:hint="eastAsia" w:ascii="黑体" w:hAnsi="黑体" w:eastAsia="黑体" w:cs="黑体"/>
          <w:color w:val="auto"/>
          <w:spacing w:val="0"/>
          <w:sz w:val="32"/>
          <w:szCs w:val="32"/>
          <w:lang w:val="en-US" w:eastAsia="zh-CN"/>
        </w:rPr>
      </w:pPr>
    </w:p>
    <w:p w14:paraId="7EE25D3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auto"/>
          <w:spacing w:val="0"/>
          <w:sz w:val="44"/>
          <w:szCs w:val="44"/>
          <w:lang w:val="en-US" w:eastAsia="zh-CN" w:bidi="ar-SA"/>
        </w:rPr>
      </w:pPr>
      <w:bookmarkStart w:id="109" w:name="_Toc23571"/>
      <w:r>
        <w:rPr>
          <w:rFonts w:hint="eastAsia" w:ascii="方正小标宋简体" w:hAnsi="方正小标宋简体" w:eastAsia="方正小标宋简体" w:cs="方正小标宋简体"/>
          <w:b w:val="0"/>
          <w:bCs w:val="0"/>
          <w:snapToGrid w:val="0"/>
          <w:color w:val="auto"/>
          <w:spacing w:val="0"/>
          <w:sz w:val="44"/>
          <w:szCs w:val="44"/>
          <w:lang w:val="en-US" w:eastAsia="zh-CN" w:bidi="ar-SA"/>
        </w:rPr>
        <w:t>风险分级管控及评价方法</w:t>
      </w:r>
      <w:bookmarkEnd w:id="109"/>
    </w:p>
    <w:p w14:paraId="55561280">
      <w:pPr>
        <w:pStyle w:val="5"/>
        <w:keepNext w:val="0"/>
        <w:keepLines w:val="0"/>
        <w:pageBreakBefore w:val="0"/>
        <w:widowControl w:val="0"/>
        <w:kinsoku w:val="0"/>
        <w:wordWrap/>
        <w:overflowPunct/>
        <w:topLinePunct w:val="0"/>
        <w:autoSpaceDE w:val="0"/>
        <w:autoSpaceDN w:val="0"/>
        <w:bidi w:val="0"/>
        <w:adjustRightInd w:val="0"/>
        <w:snapToGrid w:val="0"/>
        <w:spacing w:line="560" w:lineRule="exact"/>
        <w:ind w:left="0" w:firstLine="0"/>
        <w:jc w:val="center"/>
        <w:textAlignment w:val="baseline"/>
        <w:outlineLvl w:val="0"/>
        <w:rPr>
          <w:rFonts w:hint="eastAsia" w:ascii="方正小标宋简体" w:hAnsi="方正小标宋简体" w:eastAsia="方正小标宋简体" w:cs="方正小标宋简体"/>
          <w:b w:val="0"/>
          <w:bCs w:val="0"/>
          <w:snapToGrid w:val="0"/>
          <w:color w:val="auto"/>
          <w:spacing w:val="0"/>
          <w:sz w:val="44"/>
          <w:szCs w:val="44"/>
          <w:lang w:val="en-US" w:eastAsia="zh-CN" w:bidi="ar-SA"/>
        </w:rPr>
      </w:pPr>
    </w:p>
    <w:p w14:paraId="056C0D2B">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LS法安全风险评价判定准则</w:t>
      </w:r>
    </w:p>
    <w:p w14:paraId="2FDA38B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rPr>
        <w:t>1.风险矩阵法的主要内容是：</w:t>
      </w:r>
      <w:r>
        <w:rPr>
          <w:rFonts w:hint="eastAsia" w:ascii="仿宋" w:hAnsi="仿宋" w:eastAsia="仿宋" w:cs="仿宋"/>
          <w:color w:val="auto"/>
          <w:sz w:val="32"/>
          <w:szCs w:val="32"/>
        </w:rPr>
        <w:t>识别出存在的风险，分析和评价风险事件发生的可能性和后果，二者相乘，得出风险的风险值，确定风险级别，进而决定应当采取的风险控制措施。</w:t>
      </w:r>
    </w:p>
    <w:p w14:paraId="182B794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数学表达式为：R=L×S，其中，</w:t>
      </w:r>
    </w:p>
    <w:p w14:paraId="31E244FC">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R代表风险值；</w:t>
      </w:r>
    </w:p>
    <w:p w14:paraId="66A6266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L代表风险事件发生可能性；</w:t>
      </w:r>
    </w:p>
    <w:p w14:paraId="70BD6521">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S代表风险事件后果严重程度。</w:t>
      </w:r>
    </w:p>
    <w:p w14:paraId="7A1E341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2.风险事件发生可能性（L）取值</w:t>
      </w:r>
    </w:p>
    <w:p w14:paraId="0C9A597E">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针对识别出的风险，对照风险事件发生的可能性，取其最大值作为最终L值，即满足若干条件之一时就取对应的L值，而无需满足所有条件。对照过程中，涉及到资料的，要见证到具体名称和条款；涉及到人员的，要具体到所有参与者。</w:t>
      </w:r>
    </w:p>
    <w:p w14:paraId="61E4C71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b/>
          <w:bCs/>
          <w:color w:val="auto"/>
          <w:sz w:val="32"/>
          <w:szCs w:val="32"/>
        </w:rPr>
      </w:pPr>
      <w:r>
        <w:rPr>
          <w:rFonts w:hint="eastAsia" w:ascii="仿宋" w:hAnsi="仿宋" w:eastAsia="仿宋" w:cs="仿宋"/>
          <w:color w:val="auto"/>
          <w:sz w:val="32"/>
          <w:szCs w:val="32"/>
        </w:rPr>
        <w:t>事件发生的可能性（L）用事件发生的概率表示，取值如下表所示：</w:t>
      </w:r>
    </w:p>
    <w:p w14:paraId="519AFD2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风险事件发生可能性（L）参考取值表</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1034"/>
        <w:gridCol w:w="1553"/>
        <w:gridCol w:w="1648"/>
        <w:gridCol w:w="2359"/>
        <w:gridCol w:w="1444"/>
      </w:tblGrid>
      <w:tr w14:paraId="7E6155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64" w:type="dxa"/>
            <w:shd w:val="clear" w:color="auto" w:fill="auto"/>
            <w:vAlign w:val="center"/>
          </w:tcPr>
          <w:p w14:paraId="12AFD4D6">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L</w:t>
            </w:r>
          </w:p>
        </w:tc>
        <w:tc>
          <w:tcPr>
            <w:tcW w:w="1034" w:type="dxa"/>
            <w:shd w:val="clear" w:color="auto" w:fill="auto"/>
            <w:vAlign w:val="center"/>
          </w:tcPr>
          <w:p w14:paraId="601D1FC2">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参考频率</w:t>
            </w:r>
          </w:p>
        </w:tc>
        <w:tc>
          <w:tcPr>
            <w:tcW w:w="1553" w:type="dxa"/>
            <w:shd w:val="clear" w:color="auto" w:fill="auto"/>
            <w:vAlign w:val="center"/>
          </w:tcPr>
          <w:p w14:paraId="09E42CD2">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人员情况</w:t>
            </w:r>
          </w:p>
        </w:tc>
        <w:tc>
          <w:tcPr>
            <w:tcW w:w="1648" w:type="dxa"/>
            <w:shd w:val="clear" w:color="auto" w:fill="auto"/>
            <w:vAlign w:val="center"/>
          </w:tcPr>
          <w:p w14:paraId="403679D4">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设备设施、工器具及材料</w:t>
            </w:r>
          </w:p>
        </w:tc>
        <w:tc>
          <w:tcPr>
            <w:shd w:val="clear" w:color="auto" w:fill="auto"/>
            <w:vAlign w:val="center"/>
          </w:tcPr>
          <w:p w14:paraId="3FCE5940">
            <w:pPr>
              <w:pStyle w:val="19"/>
              <w:jc w:val="center"/>
              <w:rPr>
                <w:rFonts w:hint="eastAsia" w:ascii="仿宋" w:hAnsi="仿宋" w:eastAsia="仿宋" w:cs="仿宋"/>
                <w:color w:val="auto"/>
                <w:sz w:val="32"/>
                <w:szCs w:val="21"/>
              </w:rPr>
            </w:pPr>
            <w:r>
              <w:rPr>
                <w:rFonts w:hint="eastAsia" w:ascii="仿宋" w:hAnsi="仿宋" w:eastAsia="仿宋" w:cs="仿宋"/>
                <w:color w:val="auto"/>
                <w:sz w:val="32"/>
                <w:szCs w:val="21"/>
              </w:rPr>
              <w:t>环境</w:t>
            </w:r>
          </w:p>
          <w:p w14:paraId="7DD0C943">
            <w:pPr>
              <w:pStyle w:val="19"/>
              <w:jc w:val="center"/>
              <w:rPr>
                <w:rFonts w:hint="eastAsia" w:ascii="仿宋" w:hAnsi="仿宋" w:eastAsia="仿宋" w:cs="仿宋"/>
                <w:color w:val="auto"/>
                <w:sz w:val="32"/>
                <w:szCs w:val="21"/>
              </w:rPr>
            </w:pPr>
            <w:r>
              <w:rPr>
                <w:rFonts w:hint="eastAsia" w:ascii="仿宋" w:hAnsi="仿宋" w:eastAsia="仿宋" w:cs="仿宋"/>
                <w:color w:val="auto"/>
                <w:sz w:val="32"/>
                <w:szCs w:val="21"/>
              </w:rPr>
              <w:t>状况</w:t>
            </w:r>
          </w:p>
        </w:tc>
        <w:tc>
          <w:tcPr>
            <w:shd w:val="clear" w:color="auto" w:fill="auto"/>
            <w:vAlign w:val="center"/>
          </w:tcPr>
          <w:p w14:paraId="6E003DBE">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规程和针对性管理方案</w:t>
            </w:r>
          </w:p>
        </w:tc>
      </w:tr>
      <w:tr w14:paraId="42082B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55" w:hRule="atLeast"/>
          <w:jc w:val="center"/>
        </w:trPr>
        <w:tc>
          <w:tcPr>
            <w:tcW w:w="464" w:type="dxa"/>
            <w:shd w:val="clear" w:color="auto" w:fill="auto"/>
            <w:vAlign w:val="center"/>
          </w:tcPr>
          <w:p w14:paraId="54F655CD">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5</w:t>
            </w:r>
          </w:p>
        </w:tc>
        <w:tc>
          <w:tcPr>
            <w:tcW w:w="1034" w:type="dxa"/>
            <w:shd w:val="clear" w:color="auto" w:fill="auto"/>
            <w:textDirection w:val="tbLrV"/>
            <w:vAlign w:val="center"/>
          </w:tcPr>
          <w:p w14:paraId="43EA7740">
            <w:pPr>
              <w:pStyle w:val="19"/>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本企业一年内发生过</w:t>
            </w:r>
          </w:p>
        </w:tc>
        <w:tc>
          <w:tcPr>
            <w:tcW w:w="1553" w:type="dxa"/>
            <w:shd w:val="clear" w:color="auto" w:fill="auto"/>
            <w:vAlign w:val="center"/>
          </w:tcPr>
          <w:p w14:paraId="7E2C824A">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无培训</w:t>
            </w:r>
            <w:r>
              <w:rPr>
                <w:rFonts w:hint="eastAsia" w:ascii="仿宋" w:hAnsi="仿宋" w:eastAsia="仿宋" w:cs="仿宋"/>
                <w:color w:val="auto"/>
                <w:sz w:val="32"/>
                <w:szCs w:val="21"/>
                <w:lang w:eastAsia="zh-CN"/>
              </w:rPr>
              <w:t>，</w:t>
            </w:r>
            <w:r>
              <w:rPr>
                <w:rFonts w:hint="eastAsia" w:ascii="仿宋" w:hAnsi="仿宋" w:eastAsia="仿宋" w:cs="仿宋"/>
                <w:color w:val="auto"/>
                <w:sz w:val="32"/>
                <w:szCs w:val="21"/>
              </w:rPr>
              <w:t>无经验</w:t>
            </w:r>
          </w:p>
        </w:tc>
        <w:tc>
          <w:tcPr>
            <w:tcW w:w="1648" w:type="dxa"/>
            <w:shd w:val="clear" w:color="auto" w:fill="auto"/>
            <w:vAlign w:val="center"/>
          </w:tcPr>
          <w:p w14:paraId="4C07932B">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超期运行或超检验期</w:t>
            </w:r>
          </w:p>
        </w:tc>
        <w:tc>
          <w:tcPr>
            <w:shd w:val="clear" w:color="auto" w:fill="auto"/>
            <w:vAlign w:val="center"/>
          </w:tcPr>
          <w:p w14:paraId="3EDF2C4A">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危险化学品生产贮存区域；存在或可能产生危害气体</w:t>
            </w:r>
          </w:p>
        </w:tc>
        <w:tc>
          <w:tcPr>
            <w:shd w:val="clear" w:color="auto" w:fill="auto"/>
            <w:vAlign w:val="center"/>
          </w:tcPr>
          <w:p w14:paraId="45122DF2">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没有</w:t>
            </w:r>
          </w:p>
        </w:tc>
      </w:tr>
      <w:tr w14:paraId="3A30D5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775" w:hRule="atLeast"/>
          <w:jc w:val="center"/>
        </w:trPr>
        <w:tc>
          <w:tcPr>
            <w:tcW w:w="464" w:type="dxa"/>
            <w:shd w:val="clear" w:color="auto" w:fill="auto"/>
            <w:vAlign w:val="center"/>
          </w:tcPr>
          <w:p w14:paraId="31D804B7">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4</w:t>
            </w:r>
          </w:p>
        </w:tc>
        <w:tc>
          <w:tcPr>
            <w:tcW w:w="1034" w:type="dxa"/>
            <w:shd w:val="clear" w:color="auto" w:fill="auto"/>
            <w:textDirection w:val="tbLrV"/>
            <w:vAlign w:val="center"/>
          </w:tcPr>
          <w:p w14:paraId="54044CCC">
            <w:pPr>
              <w:pStyle w:val="19"/>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本集团一年内发生过</w:t>
            </w:r>
          </w:p>
        </w:tc>
        <w:tc>
          <w:tcPr>
            <w:tcW w:w="1553" w:type="dxa"/>
            <w:shd w:val="clear" w:color="auto" w:fill="auto"/>
            <w:vAlign w:val="center"/>
          </w:tcPr>
          <w:p w14:paraId="7BB4D14A">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有培训但培训时间不够或未达成效果</w:t>
            </w:r>
          </w:p>
        </w:tc>
        <w:tc>
          <w:tcPr>
            <w:tcW w:w="1648" w:type="dxa"/>
            <w:shd w:val="clear" w:color="auto" w:fill="auto"/>
            <w:vAlign w:val="center"/>
          </w:tcPr>
          <w:p w14:paraId="38BE91D7">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保护自动装置功能</w:t>
            </w:r>
            <w:r>
              <w:rPr>
                <w:rFonts w:hint="eastAsia" w:ascii="仿宋" w:hAnsi="仿宋" w:eastAsia="仿宋" w:cs="仿宋"/>
                <w:color w:val="auto"/>
                <w:sz w:val="32"/>
                <w:szCs w:val="21"/>
                <w:lang w:eastAsia="zh-CN"/>
              </w:rPr>
              <w:t>不</w:t>
            </w:r>
            <w:r>
              <w:rPr>
                <w:rFonts w:hint="eastAsia" w:ascii="仿宋" w:hAnsi="仿宋" w:eastAsia="仿宋" w:cs="仿宋"/>
                <w:color w:val="auto"/>
                <w:sz w:val="32"/>
                <w:szCs w:val="21"/>
              </w:rPr>
              <w:t>完善，存在质量缺陷</w:t>
            </w:r>
          </w:p>
        </w:tc>
        <w:tc>
          <w:tcPr>
            <w:shd w:val="clear" w:color="auto" w:fill="auto"/>
            <w:vAlign w:val="center"/>
          </w:tcPr>
          <w:p w14:paraId="01EFA6DA">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作业空间受限；作业立体交叉；恶劣气象条件；高空或在运行</w:t>
            </w:r>
            <w:r>
              <w:rPr>
                <w:rFonts w:hint="eastAsia" w:ascii="仿宋" w:hAnsi="仿宋" w:eastAsia="仿宋" w:cs="仿宋"/>
                <w:color w:val="auto"/>
                <w:sz w:val="32"/>
                <w:szCs w:val="21"/>
                <w:lang w:eastAsia="zh-CN"/>
              </w:rPr>
              <w:t>设</w:t>
            </w:r>
            <w:r>
              <w:rPr>
                <w:rFonts w:hint="eastAsia" w:ascii="仿宋" w:hAnsi="仿宋" w:eastAsia="仿宋" w:cs="仿宋"/>
                <w:color w:val="auto"/>
                <w:sz w:val="32"/>
                <w:szCs w:val="21"/>
              </w:rPr>
              <w:t>备设施上作业</w:t>
            </w:r>
          </w:p>
        </w:tc>
        <w:tc>
          <w:tcPr>
            <w:shd w:val="clear" w:color="auto" w:fill="auto"/>
            <w:vAlign w:val="center"/>
          </w:tcPr>
          <w:p w14:paraId="7FDD259A">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有，但不完善，且只偶尔执行</w:t>
            </w:r>
          </w:p>
        </w:tc>
      </w:tr>
      <w:tr w14:paraId="36365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2823" w:hRule="atLeast"/>
          <w:jc w:val="center"/>
        </w:trPr>
        <w:tc>
          <w:tcPr>
            <w:tcW w:w="464" w:type="dxa"/>
            <w:shd w:val="clear" w:color="auto" w:fill="auto"/>
            <w:vAlign w:val="center"/>
          </w:tcPr>
          <w:p w14:paraId="53501352">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3</w:t>
            </w:r>
          </w:p>
        </w:tc>
        <w:tc>
          <w:tcPr>
            <w:tcW w:w="1034" w:type="dxa"/>
            <w:shd w:val="clear" w:color="auto" w:fill="auto"/>
            <w:textDirection w:val="tbLrV"/>
            <w:vAlign w:val="center"/>
          </w:tcPr>
          <w:p w14:paraId="58B01A7E">
            <w:pPr>
              <w:pStyle w:val="19"/>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本行业一年内发生过</w:t>
            </w:r>
          </w:p>
        </w:tc>
        <w:tc>
          <w:tcPr>
            <w:tcW w:w="1553" w:type="dxa"/>
            <w:shd w:val="clear" w:color="auto" w:fill="auto"/>
            <w:vAlign w:val="center"/>
          </w:tcPr>
          <w:p w14:paraId="7965B7FE">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经验不足，多次出现差错</w:t>
            </w:r>
          </w:p>
        </w:tc>
        <w:tc>
          <w:tcPr>
            <w:tcW w:w="1648" w:type="dxa"/>
            <w:shd w:val="clear" w:color="auto" w:fill="auto"/>
            <w:vAlign w:val="center"/>
          </w:tcPr>
          <w:p w14:paraId="18ADF1FD">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基本完好，但安全装置不完善</w:t>
            </w:r>
          </w:p>
        </w:tc>
        <w:tc>
          <w:tcPr>
            <w:shd w:val="clear" w:color="auto" w:fill="auto"/>
            <w:vAlign w:val="center"/>
          </w:tcPr>
          <w:p w14:paraId="3763F8FC">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通风、光照或温度需要采取措施才能作业；周围有运行设备；立面有同时作业</w:t>
            </w:r>
          </w:p>
        </w:tc>
        <w:tc>
          <w:tcPr>
            <w:shd w:val="clear" w:color="auto" w:fill="auto"/>
            <w:vAlign w:val="center"/>
          </w:tcPr>
          <w:p w14:paraId="517F1108">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有，较完善，但只部分执行</w:t>
            </w:r>
          </w:p>
        </w:tc>
      </w:tr>
      <w:tr w14:paraId="2C7BF3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3123" w:hRule="atLeast"/>
          <w:jc w:val="center"/>
        </w:trPr>
        <w:tc>
          <w:tcPr>
            <w:tcW w:w="464" w:type="dxa"/>
            <w:shd w:val="clear" w:color="auto" w:fill="auto"/>
            <w:vAlign w:val="center"/>
          </w:tcPr>
          <w:p w14:paraId="4212A1B8">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2</w:t>
            </w:r>
          </w:p>
        </w:tc>
        <w:tc>
          <w:tcPr>
            <w:tcW w:w="1034" w:type="dxa"/>
            <w:shd w:val="clear" w:color="auto" w:fill="auto"/>
            <w:textDirection w:val="tbLrV"/>
            <w:vAlign w:val="center"/>
          </w:tcPr>
          <w:p w14:paraId="53CE1EFC">
            <w:pPr>
              <w:pStyle w:val="19"/>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全国范围一年内发生过</w:t>
            </w:r>
          </w:p>
        </w:tc>
        <w:tc>
          <w:tcPr>
            <w:tcW w:w="1553" w:type="dxa"/>
            <w:shd w:val="clear" w:color="auto" w:fill="auto"/>
            <w:vAlign w:val="center"/>
          </w:tcPr>
          <w:p w14:paraId="4AD2F8FD">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偶尔出现差错</w:t>
            </w:r>
          </w:p>
        </w:tc>
        <w:tc>
          <w:tcPr>
            <w:tcW w:w="1648" w:type="dxa"/>
            <w:shd w:val="clear" w:color="auto" w:fill="auto"/>
            <w:vAlign w:val="center"/>
          </w:tcPr>
          <w:p w14:paraId="742628B0">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总体完好，但有缺陷</w:t>
            </w:r>
          </w:p>
        </w:tc>
        <w:tc>
          <w:tcPr>
            <w:shd w:val="clear" w:color="auto" w:fill="auto"/>
            <w:vAlign w:val="center"/>
          </w:tcPr>
          <w:p w14:paraId="7B5B3189">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通风、光照或温度不影响作业；系统停运；同一作业面有其它作业</w:t>
            </w:r>
          </w:p>
        </w:tc>
        <w:tc>
          <w:tcPr>
            <w:shd w:val="clear" w:color="auto" w:fill="auto"/>
            <w:vAlign w:val="center"/>
          </w:tcPr>
          <w:p w14:paraId="2AB9B340">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有，完善，但偶尔不执行</w:t>
            </w:r>
          </w:p>
        </w:tc>
      </w:tr>
      <w:tr w14:paraId="327AF5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1772" w:hRule="atLeast"/>
          <w:jc w:val="center"/>
        </w:trPr>
        <w:tc>
          <w:tcPr>
            <w:tcW w:w="464" w:type="dxa"/>
            <w:shd w:val="clear" w:color="auto" w:fill="auto"/>
            <w:vAlign w:val="center"/>
          </w:tcPr>
          <w:p w14:paraId="55A13419">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1</w:t>
            </w:r>
          </w:p>
        </w:tc>
        <w:tc>
          <w:tcPr>
            <w:tcW w:w="1034" w:type="dxa"/>
            <w:shd w:val="clear" w:color="auto" w:fill="auto"/>
            <w:textDirection w:val="tbLrV"/>
            <w:vAlign w:val="center"/>
          </w:tcPr>
          <w:p w14:paraId="32A7C2B9">
            <w:pPr>
              <w:pStyle w:val="19"/>
              <w:ind w:left="108" w:leftChars="0" w:right="113" w:firstLine="0" w:firstLineChars="0"/>
              <w:jc w:val="both"/>
              <w:rPr>
                <w:rFonts w:hint="eastAsia" w:ascii="仿宋" w:hAnsi="仿宋" w:eastAsia="仿宋" w:cs="仿宋"/>
                <w:color w:val="auto"/>
                <w:sz w:val="32"/>
                <w:szCs w:val="21"/>
              </w:rPr>
            </w:pPr>
            <w:r>
              <w:rPr>
                <w:rFonts w:hint="eastAsia" w:ascii="仿宋" w:hAnsi="仿宋" w:eastAsia="仿宋" w:cs="仿宋"/>
                <w:color w:val="auto"/>
                <w:sz w:val="32"/>
                <w:szCs w:val="21"/>
              </w:rPr>
              <w:t>从未发生过</w:t>
            </w:r>
          </w:p>
        </w:tc>
        <w:tc>
          <w:tcPr>
            <w:tcW w:w="1553" w:type="dxa"/>
            <w:shd w:val="clear" w:color="auto" w:fill="auto"/>
            <w:vAlign w:val="center"/>
          </w:tcPr>
          <w:p w14:paraId="66E16009">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培训充分，经验丰富，安全意识强</w:t>
            </w:r>
          </w:p>
        </w:tc>
        <w:tc>
          <w:tcPr>
            <w:tcW w:w="1648" w:type="dxa"/>
            <w:shd w:val="clear" w:color="auto" w:fill="auto"/>
            <w:vAlign w:val="center"/>
          </w:tcPr>
          <w:p w14:paraId="7C15F7EB">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完好，无缺陷</w:t>
            </w:r>
          </w:p>
        </w:tc>
        <w:tc>
          <w:tcPr>
            <w:shd w:val="clear" w:color="auto" w:fill="auto"/>
            <w:vAlign w:val="center"/>
          </w:tcPr>
          <w:p w14:paraId="04341C53">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通风、光照良好，温度适宜；系统停运且周围无运行设备</w:t>
            </w:r>
          </w:p>
        </w:tc>
        <w:tc>
          <w:tcPr>
            <w:shd w:val="clear" w:color="auto" w:fill="auto"/>
            <w:vAlign w:val="center"/>
          </w:tcPr>
          <w:p w14:paraId="0E879075">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有，完善，严格执行</w:t>
            </w:r>
          </w:p>
        </w:tc>
      </w:tr>
    </w:tbl>
    <w:p w14:paraId="5085A6E4">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注：当缺少基础资料或者无法取得充分可靠的数据或者分析数据不具有成本效益性时，取值可参照类似性质、规模企业的业内平均水平。</w:t>
      </w:r>
    </w:p>
    <w:p w14:paraId="433244C7">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3.风险事件后果严重程度（S）取值</w:t>
      </w:r>
    </w:p>
    <w:p w14:paraId="6D81022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从人员伤亡、经济损失二个维度对风险事件后果严重程度进行评价取值，以最大值作为最终S值，即满足若干条件之一时就取对应的S值，而无需满足所有条件。</w:t>
      </w:r>
    </w:p>
    <w:p w14:paraId="7A01F2C2">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color w:val="auto"/>
          <w:sz w:val="32"/>
          <w:szCs w:val="32"/>
        </w:rPr>
      </w:pPr>
    </w:p>
    <w:p w14:paraId="082126F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风险事件后果严重程度（S）参考取值表</w:t>
      </w:r>
    </w:p>
    <w:tbl>
      <w:tblPr>
        <w:tblStyle w:val="20"/>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484"/>
        <w:gridCol w:w="3404"/>
        <w:gridCol w:w="4891"/>
      </w:tblGrid>
      <w:tr w14:paraId="66D9C0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77B973D3">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S</w:t>
            </w:r>
          </w:p>
        </w:tc>
        <w:tc>
          <w:tcPr>
            <w:shd w:val="clear" w:color="auto" w:fill="auto"/>
            <w:vAlign w:val="center"/>
          </w:tcPr>
          <w:p w14:paraId="3E0C02AA">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可能造成的人身伤害</w:t>
            </w:r>
          </w:p>
        </w:tc>
        <w:tc>
          <w:tcPr>
            <w:shd w:val="clear" w:color="auto" w:fill="auto"/>
            <w:vAlign w:val="center"/>
          </w:tcPr>
          <w:p w14:paraId="1AE592CC">
            <w:pPr>
              <w:pStyle w:val="19"/>
              <w:jc w:val="both"/>
              <w:rPr>
                <w:rFonts w:hint="eastAsia" w:ascii="仿宋" w:hAnsi="仿宋" w:eastAsia="仿宋" w:cs="仿宋"/>
                <w:color w:val="auto"/>
                <w:sz w:val="32"/>
                <w:szCs w:val="21"/>
              </w:rPr>
            </w:pPr>
            <w:r>
              <w:rPr>
                <w:rFonts w:hint="eastAsia" w:ascii="仿宋" w:hAnsi="仿宋" w:eastAsia="仿宋" w:cs="仿宋"/>
                <w:color w:val="auto"/>
                <w:sz w:val="32"/>
                <w:szCs w:val="21"/>
              </w:rPr>
              <w:t>可能造成的财产损失、设备设施损坏</w:t>
            </w:r>
          </w:p>
        </w:tc>
      </w:tr>
      <w:tr w14:paraId="1EDBD4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6AFB045B">
            <w:pPr>
              <w:pStyle w:val="19"/>
              <w:jc w:val="center"/>
              <w:rPr>
                <w:rFonts w:hint="eastAsia" w:ascii="仿宋" w:hAnsi="仿宋" w:eastAsia="仿宋" w:cs="仿宋"/>
                <w:sz w:val="32"/>
                <w:szCs w:val="21"/>
              </w:rPr>
            </w:pPr>
            <w:r>
              <w:rPr>
                <w:rFonts w:hint="eastAsia" w:ascii="仿宋" w:hAnsi="仿宋" w:eastAsia="仿宋" w:cs="仿宋"/>
                <w:sz w:val="32"/>
                <w:szCs w:val="21"/>
              </w:rPr>
              <w:t>5</w:t>
            </w:r>
          </w:p>
        </w:tc>
        <w:tc>
          <w:tcPr>
            <w:shd w:val="clear" w:color="auto" w:fill="auto"/>
            <w:vAlign w:val="center"/>
          </w:tcPr>
          <w:p w14:paraId="432E2E51">
            <w:pPr>
              <w:pStyle w:val="19"/>
              <w:jc w:val="center"/>
              <w:rPr>
                <w:rFonts w:hint="eastAsia" w:ascii="仿宋" w:hAnsi="仿宋" w:eastAsia="仿宋" w:cs="仿宋"/>
                <w:sz w:val="32"/>
                <w:szCs w:val="21"/>
              </w:rPr>
            </w:pPr>
            <w:r>
              <w:rPr>
                <w:rFonts w:hint="eastAsia" w:ascii="仿宋" w:hAnsi="仿宋" w:eastAsia="仿宋" w:cs="仿宋"/>
                <w:sz w:val="32"/>
                <w:szCs w:val="21"/>
              </w:rPr>
              <w:t>3人及以上死亡或7人及以上重伤</w:t>
            </w:r>
          </w:p>
        </w:tc>
        <w:tc>
          <w:tcPr>
            <w:shd w:val="clear" w:color="auto" w:fill="auto"/>
            <w:vAlign w:val="center"/>
          </w:tcPr>
          <w:p w14:paraId="1BFB309F">
            <w:pPr>
              <w:pStyle w:val="19"/>
              <w:jc w:val="center"/>
              <w:rPr>
                <w:rFonts w:hint="eastAsia" w:ascii="仿宋" w:hAnsi="仿宋" w:eastAsia="仿宋" w:cs="仿宋"/>
                <w:sz w:val="32"/>
                <w:szCs w:val="21"/>
              </w:rPr>
            </w:pPr>
            <w:r>
              <w:rPr>
                <w:rFonts w:hint="eastAsia" w:ascii="仿宋" w:hAnsi="仿宋" w:eastAsia="仿宋" w:cs="仿宋"/>
                <w:sz w:val="32"/>
                <w:szCs w:val="21"/>
              </w:rPr>
              <w:t>直接经济损失在1000万元及以上</w:t>
            </w:r>
          </w:p>
        </w:tc>
      </w:tr>
      <w:tr w14:paraId="5CDD65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16BAF9C2">
            <w:pPr>
              <w:pStyle w:val="19"/>
              <w:jc w:val="center"/>
              <w:rPr>
                <w:rFonts w:hint="eastAsia" w:ascii="仿宋" w:hAnsi="仿宋" w:eastAsia="仿宋" w:cs="仿宋"/>
                <w:sz w:val="32"/>
                <w:szCs w:val="21"/>
              </w:rPr>
            </w:pPr>
            <w:r>
              <w:rPr>
                <w:rFonts w:hint="eastAsia" w:ascii="仿宋" w:hAnsi="仿宋" w:eastAsia="仿宋" w:cs="仿宋"/>
                <w:sz w:val="32"/>
                <w:szCs w:val="21"/>
              </w:rPr>
              <w:t>4</w:t>
            </w:r>
          </w:p>
        </w:tc>
        <w:tc>
          <w:tcPr>
            <w:shd w:val="clear" w:color="auto" w:fill="auto"/>
            <w:vAlign w:val="center"/>
          </w:tcPr>
          <w:p w14:paraId="40B647E5">
            <w:pPr>
              <w:pStyle w:val="19"/>
              <w:jc w:val="center"/>
              <w:rPr>
                <w:rFonts w:hint="eastAsia" w:ascii="仿宋" w:hAnsi="仿宋" w:eastAsia="仿宋" w:cs="仿宋"/>
                <w:sz w:val="32"/>
                <w:szCs w:val="21"/>
              </w:rPr>
            </w:pPr>
            <w:r>
              <w:rPr>
                <w:rFonts w:hint="eastAsia" w:ascii="仿宋" w:hAnsi="仿宋" w:eastAsia="仿宋" w:cs="仿宋"/>
                <w:sz w:val="32"/>
                <w:szCs w:val="21"/>
              </w:rPr>
              <w:t>1-2人死亡或3-6人重伤</w:t>
            </w:r>
          </w:p>
        </w:tc>
        <w:tc>
          <w:tcPr>
            <w:shd w:val="clear" w:color="auto" w:fill="auto"/>
            <w:vAlign w:val="center"/>
          </w:tcPr>
          <w:p w14:paraId="0405994B">
            <w:pPr>
              <w:pStyle w:val="19"/>
              <w:jc w:val="center"/>
              <w:rPr>
                <w:rFonts w:hint="eastAsia" w:ascii="仿宋" w:hAnsi="仿宋" w:eastAsia="仿宋" w:cs="仿宋"/>
                <w:sz w:val="32"/>
                <w:szCs w:val="21"/>
              </w:rPr>
            </w:pPr>
            <w:r>
              <w:rPr>
                <w:rFonts w:hint="eastAsia" w:ascii="仿宋" w:hAnsi="仿宋" w:eastAsia="仿宋" w:cs="仿宋"/>
                <w:sz w:val="32"/>
                <w:szCs w:val="21"/>
              </w:rPr>
              <w:t>直接经济损失在100万元及以上，1000万元以下</w:t>
            </w:r>
          </w:p>
        </w:tc>
      </w:tr>
      <w:tr w14:paraId="404E7E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47408DF3">
            <w:pPr>
              <w:pStyle w:val="19"/>
              <w:jc w:val="center"/>
              <w:rPr>
                <w:rFonts w:hint="eastAsia" w:ascii="仿宋" w:hAnsi="仿宋" w:eastAsia="仿宋" w:cs="仿宋"/>
                <w:sz w:val="32"/>
                <w:szCs w:val="21"/>
              </w:rPr>
            </w:pPr>
            <w:r>
              <w:rPr>
                <w:rFonts w:hint="eastAsia" w:ascii="仿宋" w:hAnsi="仿宋" w:eastAsia="仿宋" w:cs="仿宋"/>
                <w:sz w:val="32"/>
                <w:szCs w:val="21"/>
              </w:rPr>
              <w:t>3</w:t>
            </w:r>
          </w:p>
        </w:tc>
        <w:tc>
          <w:tcPr>
            <w:shd w:val="clear" w:color="auto" w:fill="auto"/>
            <w:vAlign w:val="center"/>
          </w:tcPr>
          <w:p w14:paraId="23C720D2">
            <w:pPr>
              <w:pStyle w:val="19"/>
              <w:jc w:val="center"/>
              <w:rPr>
                <w:rFonts w:hint="eastAsia" w:ascii="仿宋" w:hAnsi="仿宋" w:eastAsia="仿宋" w:cs="仿宋"/>
                <w:sz w:val="32"/>
                <w:szCs w:val="21"/>
              </w:rPr>
            </w:pPr>
            <w:r>
              <w:rPr>
                <w:rFonts w:hint="eastAsia" w:ascii="仿宋" w:hAnsi="仿宋" w:eastAsia="仿宋" w:cs="仿宋"/>
                <w:sz w:val="32"/>
                <w:szCs w:val="21"/>
              </w:rPr>
              <w:t>造成1至2人重伤或3至6人轻伤</w:t>
            </w:r>
          </w:p>
        </w:tc>
        <w:tc>
          <w:tcPr>
            <w:shd w:val="clear" w:color="auto" w:fill="auto"/>
            <w:vAlign w:val="center"/>
          </w:tcPr>
          <w:p w14:paraId="3F50B485">
            <w:pPr>
              <w:pStyle w:val="19"/>
              <w:jc w:val="center"/>
              <w:rPr>
                <w:rFonts w:hint="eastAsia" w:ascii="仿宋" w:hAnsi="仿宋" w:eastAsia="仿宋" w:cs="仿宋"/>
                <w:sz w:val="32"/>
                <w:szCs w:val="21"/>
              </w:rPr>
            </w:pPr>
            <w:r>
              <w:rPr>
                <w:rFonts w:hint="eastAsia" w:ascii="仿宋" w:hAnsi="仿宋" w:eastAsia="仿宋" w:cs="仿宋"/>
                <w:sz w:val="32"/>
                <w:szCs w:val="21"/>
              </w:rPr>
              <w:t>直接经济损失在10万元及以上，100万元以下</w:t>
            </w:r>
          </w:p>
        </w:tc>
      </w:tr>
      <w:tr w14:paraId="2FE69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53" w:hRule="atLeast"/>
          <w:jc w:val="center"/>
        </w:trPr>
        <w:tc>
          <w:tcPr>
            <w:shd w:val="clear" w:color="auto" w:fill="auto"/>
            <w:vAlign w:val="center"/>
          </w:tcPr>
          <w:p w14:paraId="395E396D">
            <w:pPr>
              <w:pStyle w:val="19"/>
              <w:jc w:val="center"/>
              <w:rPr>
                <w:rFonts w:hint="eastAsia" w:ascii="仿宋" w:hAnsi="仿宋" w:eastAsia="仿宋" w:cs="仿宋"/>
                <w:sz w:val="32"/>
                <w:szCs w:val="21"/>
              </w:rPr>
            </w:pPr>
            <w:r>
              <w:rPr>
                <w:rFonts w:hint="eastAsia" w:ascii="仿宋" w:hAnsi="仿宋" w:eastAsia="仿宋" w:cs="仿宋"/>
                <w:sz w:val="32"/>
                <w:szCs w:val="21"/>
              </w:rPr>
              <w:t>2</w:t>
            </w:r>
          </w:p>
        </w:tc>
        <w:tc>
          <w:tcPr>
            <w:shd w:val="clear" w:color="auto" w:fill="auto"/>
            <w:vAlign w:val="center"/>
          </w:tcPr>
          <w:p w14:paraId="7E5E44F1">
            <w:pPr>
              <w:pStyle w:val="19"/>
              <w:jc w:val="center"/>
              <w:rPr>
                <w:rFonts w:hint="eastAsia" w:ascii="仿宋" w:hAnsi="仿宋" w:eastAsia="仿宋" w:cs="仿宋"/>
                <w:sz w:val="32"/>
                <w:szCs w:val="21"/>
              </w:rPr>
            </w:pPr>
            <w:r>
              <w:rPr>
                <w:rFonts w:hint="eastAsia" w:ascii="仿宋" w:hAnsi="仿宋" w:eastAsia="仿宋" w:cs="仿宋"/>
                <w:sz w:val="32"/>
                <w:szCs w:val="21"/>
              </w:rPr>
              <w:t>1至2人轻伤</w:t>
            </w:r>
          </w:p>
        </w:tc>
        <w:tc>
          <w:tcPr>
            <w:shd w:val="clear" w:color="auto" w:fill="auto"/>
            <w:vAlign w:val="center"/>
          </w:tcPr>
          <w:p w14:paraId="4F532863">
            <w:pPr>
              <w:pStyle w:val="19"/>
              <w:jc w:val="center"/>
              <w:rPr>
                <w:rFonts w:hint="eastAsia" w:ascii="仿宋" w:hAnsi="仿宋" w:eastAsia="仿宋" w:cs="仿宋"/>
                <w:sz w:val="32"/>
                <w:szCs w:val="21"/>
              </w:rPr>
            </w:pPr>
            <w:r>
              <w:rPr>
                <w:rFonts w:hint="eastAsia" w:ascii="仿宋" w:hAnsi="仿宋" w:eastAsia="仿宋" w:cs="仿宋"/>
                <w:sz w:val="32"/>
                <w:szCs w:val="21"/>
              </w:rPr>
              <w:t>直接经济损失一万元及以上，10万元以下</w:t>
            </w:r>
          </w:p>
        </w:tc>
      </w:tr>
      <w:tr w14:paraId="0390E8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98" w:hRule="atLeast"/>
          <w:jc w:val="center"/>
        </w:trPr>
        <w:tc>
          <w:tcPr>
            <w:shd w:val="clear" w:color="auto" w:fill="auto"/>
            <w:vAlign w:val="center"/>
          </w:tcPr>
          <w:p w14:paraId="51CF7802">
            <w:pPr>
              <w:pStyle w:val="19"/>
              <w:jc w:val="center"/>
              <w:rPr>
                <w:rFonts w:hint="eastAsia" w:ascii="仿宋" w:hAnsi="仿宋" w:eastAsia="仿宋" w:cs="仿宋"/>
                <w:sz w:val="32"/>
                <w:szCs w:val="21"/>
              </w:rPr>
            </w:pPr>
            <w:r>
              <w:rPr>
                <w:rFonts w:hint="eastAsia" w:ascii="仿宋" w:hAnsi="仿宋" w:eastAsia="仿宋" w:cs="仿宋"/>
                <w:sz w:val="32"/>
                <w:szCs w:val="21"/>
              </w:rPr>
              <w:t>1</w:t>
            </w:r>
          </w:p>
        </w:tc>
        <w:tc>
          <w:tcPr>
            <w:shd w:val="clear" w:color="auto" w:fill="auto"/>
            <w:vAlign w:val="center"/>
          </w:tcPr>
          <w:p w14:paraId="7C7E0B97">
            <w:pPr>
              <w:pStyle w:val="19"/>
              <w:jc w:val="center"/>
              <w:rPr>
                <w:rFonts w:hint="eastAsia" w:ascii="仿宋" w:hAnsi="仿宋" w:eastAsia="仿宋" w:cs="仿宋"/>
                <w:sz w:val="32"/>
                <w:szCs w:val="21"/>
              </w:rPr>
            </w:pPr>
            <w:r>
              <w:rPr>
                <w:rFonts w:hint="eastAsia" w:ascii="仿宋" w:hAnsi="仿宋" w:eastAsia="仿宋" w:cs="仿宋"/>
                <w:sz w:val="32"/>
                <w:szCs w:val="21"/>
              </w:rPr>
              <w:t>1至2人轻微伤</w:t>
            </w:r>
          </w:p>
        </w:tc>
        <w:tc>
          <w:tcPr>
            <w:shd w:val="clear" w:color="auto" w:fill="auto"/>
            <w:vAlign w:val="center"/>
          </w:tcPr>
          <w:p w14:paraId="71EA2AEE">
            <w:pPr>
              <w:pStyle w:val="19"/>
              <w:jc w:val="center"/>
              <w:rPr>
                <w:rFonts w:hint="eastAsia" w:ascii="仿宋" w:hAnsi="仿宋" w:eastAsia="仿宋" w:cs="仿宋"/>
                <w:sz w:val="32"/>
                <w:szCs w:val="21"/>
              </w:rPr>
            </w:pPr>
            <w:r>
              <w:rPr>
                <w:rFonts w:hint="eastAsia" w:ascii="仿宋" w:hAnsi="仿宋" w:eastAsia="仿宋" w:cs="仿宋"/>
                <w:sz w:val="32"/>
                <w:szCs w:val="21"/>
              </w:rPr>
              <w:t>直接经济损失在1万元以下</w:t>
            </w:r>
          </w:p>
        </w:tc>
      </w:tr>
    </w:tbl>
    <w:p w14:paraId="0DE4DFF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4.风险评价</w:t>
      </w:r>
    </w:p>
    <w:p w14:paraId="16BC34F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风险评价是根据风险分析的结果，确定风险等级。</w:t>
      </w:r>
    </w:p>
    <w:p w14:paraId="0D09FFA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4.1风险值（R）</w:t>
      </w:r>
    </w:p>
    <w:p w14:paraId="18EE1D5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根据公式R=L×S计算出风险的风险值（R），并取最大值作为该风险的最终风险值（R）。</w:t>
      </w:r>
    </w:p>
    <w:p w14:paraId="76159EC9">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28"/>
          <w:szCs w:val="28"/>
        </w:rPr>
      </w:pPr>
    </w:p>
    <w:p w14:paraId="24AC68A3">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风险矩阵（R）</w:t>
      </w:r>
    </w:p>
    <w:p w14:paraId="59FAF9C7">
      <w:pPr>
        <w:pStyle w:val="5"/>
        <w:ind w:left="0" w:leftChars="0" w:firstLine="0" w:firstLineChars="0"/>
        <w:jc w:val="center"/>
      </w:pPr>
      <w:r>
        <w:drawing>
          <wp:inline distT="0" distB="0" distL="114300" distR="114300">
            <wp:extent cx="5201920" cy="2435225"/>
            <wp:effectExtent l="0" t="0" r="10160" b="3175"/>
            <wp:docPr id="2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pic:cNvPicPr>
                      <a:picLocks noChangeAspect="1" noChangeArrowheads="1"/>
                    </pic:cNvPicPr>
                  </pic:nvPicPr>
                  <pic:blipFill>
                    <a:blip r:embed="rId8"/>
                    <a:stretch>
                      <a:fillRect/>
                    </a:stretch>
                  </pic:blipFill>
                  <pic:spPr>
                    <a:xfrm>
                      <a:off x="0" y="0"/>
                      <a:ext cx="5201920" cy="2435225"/>
                    </a:xfrm>
                    <a:prstGeom prst="rect">
                      <a:avLst/>
                    </a:prstGeom>
                    <a:noFill/>
                    <a:ln w="9525">
                      <a:noFill/>
                    </a:ln>
                  </pic:spPr>
                </pic:pic>
              </a:graphicData>
            </a:graphic>
          </wp:inline>
        </w:drawing>
      </w:r>
    </w:p>
    <w:p w14:paraId="6C279AB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4.2风险等级</w:t>
      </w:r>
    </w:p>
    <w:p w14:paraId="206BA1B8">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根据风险值（R）的大小，将风险由高到低分为重大风险、较大风险、一般风险和低风险四个等级。</w:t>
      </w:r>
    </w:p>
    <w:p w14:paraId="2588CDD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p>
    <w:p w14:paraId="73D12F1A">
      <w:pPr>
        <w:pStyle w:val="5"/>
        <w:ind w:left="0" w:leftChars="0" w:firstLine="0" w:firstLineChars="0"/>
        <w:jc w:val="center"/>
      </w:pPr>
      <w:r>
        <w:drawing>
          <wp:inline distT="0" distB="0" distL="114300" distR="114300">
            <wp:extent cx="5735320" cy="2129155"/>
            <wp:effectExtent l="0" t="0" r="10160" b="4445"/>
            <wp:docPr id="2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pic:cNvPicPr>
                      <a:picLocks noChangeAspect="1" noChangeArrowheads="1"/>
                    </pic:cNvPicPr>
                  </pic:nvPicPr>
                  <pic:blipFill>
                    <a:blip r:embed="rId9"/>
                    <a:stretch>
                      <a:fillRect/>
                    </a:stretch>
                  </pic:blipFill>
                  <pic:spPr>
                    <a:xfrm>
                      <a:off x="0" y="0"/>
                      <a:ext cx="5735320" cy="2129155"/>
                    </a:xfrm>
                    <a:prstGeom prst="rect">
                      <a:avLst/>
                    </a:prstGeom>
                    <a:noFill/>
                    <a:ln w="9525">
                      <a:noFill/>
                    </a:ln>
                  </pic:spPr>
                </pic:pic>
              </a:graphicData>
            </a:graphic>
          </wp:inline>
        </w:drawing>
      </w:r>
    </w:p>
    <w:p w14:paraId="660776D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p>
    <w:p w14:paraId="29008BBF">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LEC法安全风险评价判定准则</w:t>
      </w:r>
    </w:p>
    <w:p w14:paraId="1DE66F5A">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表1</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可能性（L）基准值</w:t>
      </w:r>
    </w:p>
    <w:tbl>
      <w:tblPr>
        <w:tblStyle w:val="20"/>
        <w:tblW w:w="87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79"/>
        <w:gridCol w:w="4827"/>
        <w:gridCol w:w="2506"/>
        <w:gridCol w:w="767"/>
      </w:tblGrid>
      <w:tr w14:paraId="7D3AD2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587" w:hRule="atLeast"/>
          <w:jc w:val="center"/>
        </w:trPr>
        <w:tc>
          <w:tcPr>
            <w:vMerge w:val="restart"/>
            <w:shd w:val="clear" w:color="auto" w:fill="auto"/>
            <w:vAlign w:val="center"/>
          </w:tcPr>
          <w:p w14:paraId="509A4215">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5990F25F">
            <w:pPr>
              <w:pStyle w:val="19"/>
              <w:jc w:val="center"/>
              <w:rPr>
                <w:rFonts w:hint="eastAsia" w:ascii="仿宋" w:hAnsi="仿宋" w:eastAsia="仿宋" w:cs="仿宋"/>
                <w:sz w:val="32"/>
                <w:szCs w:val="32"/>
              </w:rPr>
            </w:pPr>
            <w:r>
              <w:rPr>
                <w:rFonts w:hint="eastAsia" w:ascii="仿宋" w:hAnsi="仿宋" w:eastAsia="仿宋" w:cs="仿宋"/>
                <w:b/>
                <w:bCs/>
                <w:sz w:val="32"/>
                <w:szCs w:val="32"/>
              </w:rPr>
              <w:t>事故发生的可能性</w:t>
            </w:r>
          </w:p>
        </w:tc>
        <w:tc>
          <w:tcPr>
            <w:vMerge w:val="restart"/>
            <w:shd w:val="clear" w:color="auto" w:fill="auto"/>
            <w:vAlign w:val="center"/>
          </w:tcPr>
          <w:p w14:paraId="0921F3C3">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6A1831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vMerge w:val="continue"/>
            <w:shd w:val="clear" w:color="auto" w:fill="auto"/>
            <w:vAlign w:val="center"/>
          </w:tcPr>
          <w:p w14:paraId="0EF28CE7">
            <w:pPr>
              <w:rPr>
                <w:rFonts w:hint="eastAsia" w:ascii="仿宋" w:hAnsi="仿宋" w:eastAsia="仿宋" w:cs="仿宋"/>
                <w:sz w:val="32"/>
                <w:szCs w:val="32"/>
                <w:lang w:eastAsia="zh-CN"/>
              </w:rPr>
            </w:pPr>
          </w:p>
        </w:tc>
        <w:tc>
          <w:tcPr>
            <w:shd w:val="clear" w:color="auto" w:fill="auto"/>
            <w:vAlign w:val="center"/>
          </w:tcPr>
          <w:p w14:paraId="60F15BE0">
            <w:pPr>
              <w:pStyle w:val="19"/>
              <w:jc w:val="left"/>
              <w:rPr>
                <w:rFonts w:hint="eastAsia" w:ascii="仿宋" w:hAnsi="仿宋" w:eastAsia="仿宋" w:cs="仿宋"/>
                <w:sz w:val="32"/>
                <w:szCs w:val="32"/>
              </w:rPr>
            </w:pPr>
            <w:r>
              <w:rPr>
                <w:rFonts w:hint="eastAsia" w:ascii="仿宋" w:hAnsi="仿宋" w:eastAsia="仿宋" w:cs="仿宋"/>
                <w:b/>
                <w:bCs/>
                <w:sz w:val="32"/>
                <w:szCs w:val="32"/>
              </w:rPr>
              <w:t>人员伤亡、火灾、设备损坏、生产中断、环境污染</w:t>
            </w:r>
          </w:p>
        </w:tc>
        <w:tc>
          <w:tcPr>
            <w:shd w:val="clear" w:color="auto" w:fill="auto"/>
            <w:vAlign w:val="center"/>
          </w:tcPr>
          <w:p w14:paraId="4A5ED2BD">
            <w:pPr>
              <w:pStyle w:val="19"/>
              <w:jc w:val="center"/>
              <w:rPr>
                <w:rFonts w:hint="eastAsia" w:ascii="仿宋" w:hAnsi="仿宋" w:eastAsia="仿宋" w:cs="仿宋"/>
                <w:sz w:val="32"/>
                <w:szCs w:val="32"/>
              </w:rPr>
            </w:pPr>
            <w:r>
              <w:rPr>
                <w:rFonts w:hint="eastAsia" w:ascii="仿宋" w:hAnsi="仿宋" w:eastAsia="仿宋" w:cs="仿宋"/>
                <w:b/>
                <w:bCs/>
                <w:sz w:val="32"/>
                <w:szCs w:val="32"/>
              </w:rPr>
              <w:t>职业健康损害</w:t>
            </w:r>
          </w:p>
        </w:tc>
        <w:tc>
          <w:tcPr>
            <w:vMerge w:val="continue"/>
            <w:shd w:val="clear" w:color="auto" w:fill="auto"/>
            <w:vAlign w:val="center"/>
          </w:tcPr>
          <w:p w14:paraId="2B86CB69">
            <w:pPr>
              <w:rPr>
                <w:rFonts w:hint="eastAsia" w:ascii="仿宋" w:hAnsi="仿宋" w:eastAsia="仿宋" w:cs="仿宋"/>
                <w:sz w:val="32"/>
                <w:szCs w:val="32"/>
                <w:lang w:eastAsia="zh-CN"/>
              </w:rPr>
            </w:pPr>
          </w:p>
        </w:tc>
      </w:tr>
      <w:tr w14:paraId="57C57B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7D383C63">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15C88C7E">
            <w:pPr>
              <w:pStyle w:val="19"/>
              <w:rPr>
                <w:rFonts w:hint="eastAsia" w:ascii="仿宋" w:hAnsi="仿宋" w:eastAsia="仿宋" w:cs="仿宋"/>
                <w:sz w:val="32"/>
                <w:szCs w:val="32"/>
              </w:rPr>
            </w:pPr>
            <w:r>
              <w:rPr>
                <w:rFonts w:hint="eastAsia" w:ascii="仿宋" w:hAnsi="仿宋" w:eastAsia="仿宋" w:cs="仿宋"/>
                <w:sz w:val="32"/>
                <w:szCs w:val="32"/>
              </w:rPr>
              <w:t>如果危害事件发生，即产生最可能和预期的结果（100%）</w:t>
            </w:r>
          </w:p>
        </w:tc>
        <w:tc>
          <w:tcPr>
            <w:shd w:val="clear" w:color="auto" w:fill="auto"/>
            <w:vAlign w:val="center"/>
          </w:tcPr>
          <w:p w14:paraId="13E5BF54">
            <w:pPr>
              <w:pStyle w:val="19"/>
              <w:rPr>
                <w:rFonts w:hint="eastAsia" w:ascii="仿宋" w:hAnsi="仿宋" w:eastAsia="仿宋" w:cs="仿宋"/>
                <w:sz w:val="32"/>
                <w:szCs w:val="32"/>
              </w:rPr>
            </w:pPr>
            <w:r>
              <w:rPr>
                <w:rFonts w:hint="eastAsia" w:ascii="仿宋" w:hAnsi="仿宋" w:eastAsia="仿宋" w:cs="仿宋"/>
                <w:sz w:val="32"/>
                <w:szCs w:val="32"/>
              </w:rPr>
              <w:t>频繁：平均每6个月发生一次</w:t>
            </w:r>
          </w:p>
        </w:tc>
        <w:tc>
          <w:tcPr>
            <w:shd w:val="clear" w:color="auto" w:fill="auto"/>
            <w:vAlign w:val="center"/>
          </w:tcPr>
          <w:p w14:paraId="1A8B1AA3">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w:t>
            </w:r>
          </w:p>
        </w:tc>
      </w:tr>
      <w:tr w14:paraId="273F7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0A182683">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799023D9">
            <w:pPr>
              <w:pStyle w:val="19"/>
              <w:rPr>
                <w:rFonts w:hint="eastAsia" w:ascii="仿宋" w:hAnsi="仿宋" w:eastAsia="仿宋" w:cs="仿宋"/>
                <w:sz w:val="32"/>
                <w:szCs w:val="32"/>
              </w:rPr>
            </w:pPr>
            <w:r>
              <w:rPr>
                <w:rFonts w:hint="eastAsia" w:ascii="仿宋" w:hAnsi="仿宋" w:eastAsia="仿宋" w:cs="仿宋"/>
                <w:sz w:val="32"/>
                <w:szCs w:val="32"/>
              </w:rPr>
              <w:t>十分可能（50%）</w:t>
            </w:r>
          </w:p>
        </w:tc>
        <w:tc>
          <w:tcPr>
            <w:shd w:val="clear" w:color="auto" w:fill="auto"/>
            <w:vAlign w:val="center"/>
          </w:tcPr>
          <w:p w14:paraId="17AAC251">
            <w:pPr>
              <w:pStyle w:val="19"/>
              <w:rPr>
                <w:rFonts w:hint="eastAsia" w:ascii="仿宋" w:hAnsi="仿宋" w:eastAsia="仿宋" w:cs="仿宋"/>
                <w:sz w:val="32"/>
                <w:szCs w:val="32"/>
              </w:rPr>
            </w:pPr>
            <w:r>
              <w:rPr>
                <w:rFonts w:hint="eastAsia" w:ascii="仿宋" w:hAnsi="仿宋" w:eastAsia="仿宋" w:cs="仿宋"/>
                <w:sz w:val="32"/>
                <w:szCs w:val="32"/>
              </w:rPr>
              <w:t>持续：平均每1年发生一次</w:t>
            </w:r>
          </w:p>
        </w:tc>
        <w:tc>
          <w:tcPr>
            <w:shd w:val="clear" w:color="auto" w:fill="auto"/>
            <w:vAlign w:val="center"/>
          </w:tcPr>
          <w:p w14:paraId="085D0283">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r>
      <w:tr w14:paraId="6D1E58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404C3C11">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3DFE391F">
            <w:pPr>
              <w:pStyle w:val="19"/>
              <w:rPr>
                <w:rFonts w:hint="eastAsia" w:ascii="仿宋" w:hAnsi="仿宋" w:eastAsia="仿宋" w:cs="仿宋"/>
                <w:sz w:val="32"/>
                <w:szCs w:val="32"/>
              </w:rPr>
            </w:pPr>
            <w:r>
              <w:rPr>
                <w:rFonts w:hint="eastAsia" w:ascii="仿宋" w:hAnsi="仿宋" w:eastAsia="仿宋" w:cs="仿宋"/>
                <w:sz w:val="32"/>
                <w:szCs w:val="32"/>
              </w:rPr>
              <w:t>可能（25%）</w:t>
            </w:r>
          </w:p>
        </w:tc>
        <w:tc>
          <w:tcPr>
            <w:shd w:val="clear" w:color="auto" w:fill="auto"/>
            <w:vAlign w:val="center"/>
          </w:tcPr>
          <w:p w14:paraId="1450F9BB">
            <w:pPr>
              <w:pStyle w:val="19"/>
              <w:rPr>
                <w:rFonts w:hint="eastAsia" w:ascii="仿宋" w:hAnsi="仿宋" w:eastAsia="仿宋" w:cs="仿宋"/>
                <w:sz w:val="32"/>
                <w:szCs w:val="32"/>
              </w:rPr>
            </w:pPr>
            <w:r>
              <w:rPr>
                <w:rFonts w:hint="eastAsia" w:ascii="仿宋" w:hAnsi="仿宋" w:eastAsia="仿宋" w:cs="仿宋"/>
                <w:sz w:val="32"/>
                <w:szCs w:val="32"/>
              </w:rPr>
              <w:t>经常：平均每1～2年发生一次</w:t>
            </w:r>
          </w:p>
        </w:tc>
        <w:tc>
          <w:tcPr>
            <w:shd w:val="clear" w:color="auto" w:fill="auto"/>
            <w:vAlign w:val="center"/>
          </w:tcPr>
          <w:p w14:paraId="4D754297">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r>
      <w:tr w14:paraId="40B5C0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0EA5B6B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00E43EC0">
            <w:pPr>
              <w:pStyle w:val="19"/>
              <w:rPr>
                <w:rFonts w:hint="eastAsia" w:ascii="仿宋" w:hAnsi="仿宋" w:eastAsia="仿宋" w:cs="仿宋"/>
                <w:sz w:val="32"/>
                <w:szCs w:val="32"/>
              </w:rPr>
            </w:pPr>
            <w:r>
              <w:rPr>
                <w:rFonts w:hint="eastAsia" w:ascii="仿宋" w:hAnsi="仿宋" w:eastAsia="仿宋" w:cs="仿宋"/>
                <w:sz w:val="32"/>
                <w:szCs w:val="32"/>
              </w:rPr>
              <w:t>很少的可能性，据说曾经发生过</w:t>
            </w:r>
          </w:p>
        </w:tc>
        <w:tc>
          <w:tcPr>
            <w:shd w:val="clear" w:color="auto" w:fill="auto"/>
            <w:vAlign w:val="center"/>
          </w:tcPr>
          <w:p w14:paraId="0DF893C6">
            <w:pPr>
              <w:pStyle w:val="19"/>
              <w:rPr>
                <w:rFonts w:hint="eastAsia" w:ascii="仿宋" w:hAnsi="仿宋" w:eastAsia="仿宋" w:cs="仿宋"/>
                <w:sz w:val="32"/>
                <w:szCs w:val="32"/>
              </w:rPr>
            </w:pPr>
            <w:r>
              <w:rPr>
                <w:rFonts w:hint="eastAsia" w:ascii="仿宋" w:hAnsi="仿宋" w:eastAsia="仿宋" w:cs="仿宋"/>
                <w:sz w:val="32"/>
                <w:szCs w:val="32"/>
              </w:rPr>
              <w:t>偶然：3～9年发生一次</w:t>
            </w:r>
          </w:p>
        </w:tc>
        <w:tc>
          <w:tcPr>
            <w:shd w:val="clear" w:color="auto" w:fill="auto"/>
            <w:vAlign w:val="center"/>
          </w:tcPr>
          <w:p w14:paraId="3226860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5EDD14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69" w:hRule="atLeast"/>
          <w:jc w:val="center"/>
        </w:trPr>
        <w:tc>
          <w:tcPr>
            <w:shd w:val="clear" w:color="auto" w:fill="auto"/>
            <w:vAlign w:val="center"/>
          </w:tcPr>
          <w:p w14:paraId="380A76A5">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4846C6D8">
            <w:pPr>
              <w:pStyle w:val="19"/>
              <w:rPr>
                <w:rFonts w:hint="eastAsia" w:ascii="仿宋" w:hAnsi="仿宋" w:eastAsia="仿宋" w:cs="仿宋"/>
                <w:sz w:val="32"/>
                <w:szCs w:val="32"/>
              </w:rPr>
            </w:pPr>
            <w:r>
              <w:rPr>
                <w:rFonts w:hint="eastAsia" w:ascii="仿宋" w:hAnsi="仿宋" w:eastAsia="仿宋" w:cs="仿宋"/>
                <w:sz w:val="32"/>
                <w:szCs w:val="32"/>
              </w:rPr>
              <w:t>相当少但确有可能，多年没有发生过</w:t>
            </w:r>
          </w:p>
        </w:tc>
        <w:tc>
          <w:tcPr>
            <w:shd w:val="clear" w:color="auto" w:fill="auto"/>
            <w:vAlign w:val="center"/>
          </w:tcPr>
          <w:p w14:paraId="0E975A32">
            <w:pPr>
              <w:pStyle w:val="19"/>
              <w:rPr>
                <w:rFonts w:hint="eastAsia" w:ascii="仿宋" w:hAnsi="仿宋" w:eastAsia="仿宋" w:cs="仿宋"/>
                <w:sz w:val="32"/>
                <w:szCs w:val="32"/>
              </w:rPr>
            </w:pPr>
            <w:r>
              <w:rPr>
                <w:rFonts w:hint="eastAsia" w:ascii="仿宋" w:hAnsi="仿宋" w:eastAsia="仿宋" w:cs="仿宋"/>
                <w:sz w:val="32"/>
                <w:szCs w:val="32"/>
              </w:rPr>
              <w:t>很难：10～20年发生一次</w:t>
            </w:r>
          </w:p>
        </w:tc>
        <w:tc>
          <w:tcPr>
            <w:shd w:val="clear" w:color="auto" w:fill="auto"/>
            <w:vAlign w:val="center"/>
          </w:tcPr>
          <w:p w14:paraId="39491029">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0.5</w:t>
            </w:r>
          </w:p>
        </w:tc>
      </w:tr>
      <w:tr w14:paraId="0295F5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990" w:hRule="atLeast"/>
          <w:jc w:val="center"/>
        </w:trPr>
        <w:tc>
          <w:tcPr>
            <w:shd w:val="clear" w:color="auto" w:fill="auto"/>
            <w:vAlign w:val="center"/>
          </w:tcPr>
          <w:p w14:paraId="4600EF5A">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1CFB521A">
            <w:pPr>
              <w:pStyle w:val="19"/>
              <w:rPr>
                <w:rFonts w:hint="eastAsia" w:ascii="仿宋" w:hAnsi="仿宋" w:eastAsia="仿宋" w:cs="仿宋"/>
                <w:sz w:val="32"/>
                <w:szCs w:val="32"/>
              </w:rPr>
            </w:pPr>
            <w:r>
              <w:rPr>
                <w:rFonts w:hint="eastAsia" w:ascii="仿宋" w:hAnsi="仿宋" w:eastAsia="仿宋" w:cs="仿宋"/>
                <w:sz w:val="32"/>
                <w:szCs w:val="32"/>
              </w:rPr>
              <w:t>百万分之一的可能性，尽管暴露了许多年，但从来没有发生过</w:t>
            </w:r>
          </w:p>
        </w:tc>
        <w:tc>
          <w:tcPr>
            <w:shd w:val="clear" w:color="auto" w:fill="auto"/>
            <w:vAlign w:val="center"/>
          </w:tcPr>
          <w:p w14:paraId="29F73215">
            <w:pPr>
              <w:pStyle w:val="19"/>
              <w:rPr>
                <w:rFonts w:hint="eastAsia" w:ascii="仿宋" w:hAnsi="仿宋" w:eastAsia="仿宋" w:cs="仿宋"/>
                <w:sz w:val="32"/>
                <w:szCs w:val="32"/>
              </w:rPr>
            </w:pPr>
            <w:r>
              <w:rPr>
                <w:rFonts w:hint="eastAsia" w:ascii="仿宋" w:hAnsi="仿宋" w:eastAsia="仿宋" w:cs="仿宋"/>
                <w:sz w:val="32"/>
                <w:szCs w:val="32"/>
              </w:rPr>
              <w:t>罕见：几乎从未发生过</w:t>
            </w:r>
          </w:p>
        </w:tc>
        <w:tc>
          <w:tcPr>
            <w:shd w:val="clear" w:color="auto" w:fill="auto"/>
            <w:vAlign w:val="center"/>
          </w:tcPr>
          <w:p w14:paraId="265CFB16">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0.1</w:t>
            </w:r>
          </w:p>
        </w:tc>
      </w:tr>
    </w:tbl>
    <w:p w14:paraId="71321EA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p>
    <w:p w14:paraId="6E5E98B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表2</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暴露率（E）基准值</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683"/>
        <w:gridCol w:w="3875"/>
        <w:gridCol w:w="3194"/>
        <w:gridCol w:w="770"/>
      </w:tblGrid>
      <w:tr w14:paraId="6E463E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9A74B21">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4F31B1A1">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人员暴露于危险环境中的频繁程度</w:t>
            </w:r>
          </w:p>
        </w:tc>
        <w:tc>
          <w:tcPr>
            <w:vMerge w:val="restart"/>
            <w:shd w:val="clear" w:color="auto" w:fill="auto"/>
            <w:vAlign w:val="center"/>
          </w:tcPr>
          <w:p w14:paraId="4F38D583">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47C2A6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DE4427E">
            <w:pPr>
              <w:rPr>
                <w:rFonts w:hint="eastAsia" w:ascii="仿宋" w:hAnsi="仿宋" w:eastAsia="仿宋" w:cs="仿宋"/>
                <w:sz w:val="32"/>
                <w:szCs w:val="32"/>
                <w:lang w:eastAsia="zh-CN"/>
              </w:rPr>
            </w:pPr>
          </w:p>
        </w:tc>
        <w:tc>
          <w:tcPr>
            <w:shd w:val="clear" w:color="auto" w:fill="auto"/>
            <w:vAlign w:val="center"/>
          </w:tcPr>
          <w:p w14:paraId="0B906EB0">
            <w:pPr>
              <w:pStyle w:val="19"/>
              <w:rPr>
                <w:rFonts w:hint="eastAsia" w:ascii="仿宋" w:hAnsi="仿宋" w:eastAsia="仿宋" w:cs="仿宋"/>
                <w:sz w:val="32"/>
                <w:szCs w:val="32"/>
              </w:rPr>
            </w:pPr>
            <w:r>
              <w:rPr>
                <w:rFonts w:hint="eastAsia" w:ascii="仿宋" w:hAnsi="仿宋" w:eastAsia="仿宋" w:cs="仿宋"/>
                <w:b/>
                <w:bCs/>
                <w:sz w:val="32"/>
                <w:szCs w:val="32"/>
              </w:rPr>
              <w:t>人员伤亡、火灾、设备损坏、生产中断、环境污染</w:t>
            </w:r>
          </w:p>
        </w:tc>
        <w:tc>
          <w:tcPr>
            <w:shd w:val="clear" w:color="auto" w:fill="auto"/>
            <w:vAlign w:val="center"/>
          </w:tcPr>
          <w:p w14:paraId="2D336261">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职业健康损害</w:t>
            </w:r>
          </w:p>
        </w:tc>
        <w:tc>
          <w:tcPr>
            <w:vMerge w:val="continue"/>
            <w:shd w:val="clear" w:color="auto" w:fill="auto"/>
            <w:vAlign w:val="center"/>
          </w:tcPr>
          <w:p w14:paraId="0466A5C6">
            <w:pPr>
              <w:rPr>
                <w:rFonts w:hint="eastAsia" w:ascii="仿宋" w:hAnsi="仿宋" w:eastAsia="仿宋" w:cs="仿宋"/>
                <w:sz w:val="32"/>
                <w:szCs w:val="32"/>
                <w:lang w:eastAsia="zh-CN"/>
              </w:rPr>
            </w:pPr>
          </w:p>
        </w:tc>
      </w:tr>
      <w:tr w14:paraId="09D2C5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6E1CFB34">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079212D1">
            <w:pPr>
              <w:pStyle w:val="19"/>
              <w:rPr>
                <w:rFonts w:hint="eastAsia" w:ascii="仿宋" w:hAnsi="仿宋" w:eastAsia="仿宋" w:cs="仿宋"/>
                <w:sz w:val="32"/>
                <w:szCs w:val="32"/>
              </w:rPr>
            </w:pPr>
            <w:r>
              <w:rPr>
                <w:rFonts w:hint="eastAsia" w:ascii="仿宋" w:hAnsi="仿宋" w:eastAsia="仿宋" w:cs="仿宋"/>
                <w:sz w:val="32"/>
                <w:szCs w:val="32"/>
              </w:rPr>
              <w:t>持续（每天许多次）</w:t>
            </w:r>
          </w:p>
        </w:tc>
        <w:tc>
          <w:tcPr>
            <w:shd w:val="clear" w:color="auto" w:fill="auto"/>
            <w:vAlign w:val="center"/>
          </w:tcPr>
          <w:p w14:paraId="2A2E5C7E">
            <w:pPr>
              <w:pStyle w:val="19"/>
              <w:rPr>
                <w:rFonts w:hint="eastAsia" w:ascii="仿宋" w:hAnsi="仿宋" w:eastAsia="仿宋" w:cs="仿宋"/>
                <w:sz w:val="32"/>
                <w:szCs w:val="32"/>
              </w:rPr>
            </w:pPr>
            <w:r>
              <w:rPr>
                <w:rFonts w:hint="eastAsia" w:ascii="仿宋" w:hAnsi="仿宋" w:eastAsia="仿宋" w:cs="仿宋"/>
                <w:sz w:val="32"/>
                <w:szCs w:val="32"/>
              </w:rPr>
              <w:t>暴露期大于2倍的法定极限值</w:t>
            </w:r>
          </w:p>
        </w:tc>
        <w:tc>
          <w:tcPr>
            <w:shd w:val="clear" w:color="auto" w:fill="auto"/>
            <w:vAlign w:val="center"/>
          </w:tcPr>
          <w:p w14:paraId="1542F85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w:t>
            </w:r>
          </w:p>
        </w:tc>
      </w:tr>
      <w:tr w14:paraId="651A74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438457A">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5AAA15C7">
            <w:pPr>
              <w:pStyle w:val="19"/>
              <w:rPr>
                <w:rFonts w:hint="eastAsia" w:ascii="仿宋" w:hAnsi="仿宋" w:eastAsia="仿宋" w:cs="仿宋"/>
                <w:sz w:val="32"/>
                <w:szCs w:val="32"/>
              </w:rPr>
            </w:pPr>
            <w:r>
              <w:rPr>
                <w:rFonts w:hint="eastAsia" w:ascii="仿宋" w:hAnsi="仿宋" w:eastAsia="仿宋" w:cs="仿宋"/>
                <w:sz w:val="32"/>
                <w:szCs w:val="32"/>
              </w:rPr>
              <w:t>经常（大概每天一次）</w:t>
            </w:r>
          </w:p>
        </w:tc>
        <w:tc>
          <w:tcPr>
            <w:shd w:val="clear" w:color="auto" w:fill="auto"/>
            <w:vAlign w:val="center"/>
          </w:tcPr>
          <w:p w14:paraId="4044BEC6">
            <w:pPr>
              <w:pStyle w:val="19"/>
              <w:rPr>
                <w:rFonts w:hint="eastAsia" w:ascii="仿宋" w:hAnsi="仿宋" w:eastAsia="仿宋" w:cs="仿宋"/>
                <w:sz w:val="32"/>
                <w:szCs w:val="32"/>
              </w:rPr>
            </w:pPr>
            <w:r>
              <w:rPr>
                <w:rFonts w:hint="eastAsia" w:ascii="仿宋" w:hAnsi="仿宋" w:eastAsia="仿宋" w:cs="仿宋"/>
                <w:sz w:val="32"/>
                <w:szCs w:val="32"/>
              </w:rPr>
              <w:t>暴露期介于1～2倍法定极限值之间</w:t>
            </w:r>
          </w:p>
        </w:tc>
        <w:tc>
          <w:tcPr>
            <w:shd w:val="clear" w:color="auto" w:fill="auto"/>
            <w:vAlign w:val="center"/>
          </w:tcPr>
          <w:p w14:paraId="2F7B9F9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r>
      <w:tr w14:paraId="394A6B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9138D64">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6C67D73F">
            <w:pPr>
              <w:pStyle w:val="19"/>
              <w:rPr>
                <w:rFonts w:hint="eastAsia" w:ascii="仿宋" w:hAnsi="仿宋" w:eastAsia="仿宋" w:cs="仿宋"/>
                <w:sz w:val="32"/>
                <w:szCs w:val="32"/>
              </w:rPr>
            </w:pPr>
            <w:r>
              <w:rPr>
                <w:rFonts w:hint="eastAsia" w:ascii="仿宋" w:hAnsi="仿宋" w:eastAsia="仿宋" w:cs="仿宋"/>
                <w:sz w:val="32"/>
                <w:szCs w:val="32"/>
              </w:rPr>
              <w:t>有时（从每周一次到每月一次）</w:t>
            </w:r>
          </w:p>
        </w:tc>
        <w:tc>
          <w:tcPr>
            <w:shd w:val="clear" w:color="auto" w:fill="auto"/>
            <w:vAlign w:val="center"/>
          </w:tcPr>
          <w:p w14:paraId="52C85065">
            <w:pPr>
              <w:pStyle w:val="19"/>
              <w:rPr>
                <w:rFonts w:hint="eastAsia" w:ascii="仿宋" w:hAnsi="仿宋" w:eastAsia="仿宋" w:cs="仿宋"/>
                <w:sz w:val="32"/>
                <w:szCs w:val="32"/>
              </w:rPr>
            </w:pPr>
            <w:r>
              <w:rPr>
                <w:rFonts w:hint="eastAsia" w:ascii="仿宋" w:hAnsi="仿宋" w:eastAsia="仿宋" w:cs="仿宋"/>
                <w:sz w:val="32"/>
                <w:szCs w:val="32"/>
              </w:rPr>
              <w:t>暴露期在法定极限值内</w:t>
            </w:r>
          </w:p>
        </w:tc>
        <w:tc>
          <w:tcPr>
            <w:shd w:val="clear" w:color="auto" w:fill="auto"/>
            <w:vAlign w:val="center"/>
          </w:tcPr>
          <w:p w14:paraId="509F7297">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r>
      <w:tr w14:paraId="706651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5DEA3FF4">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3B4EA24A">
            <w:pPr>
              <w:pStyle w:val="19"/>
              <w:rPr>
                <w:rFonts w:hint="eastAsia" w:ascii="仿宋" w:hAnsi="仿宋" w:eastAsia="仿宋" w:cs="仿宋"/>
                <w:sz w:val="32"/>
                <w:szCs w:val="32"/>
              </w:rPr>
            </w:pPr>
            <w:r>
              <w:rPr>
                <w:rFonts w:hint="eastAsia" w:ascii="仿宋" w:hAnsi="仿宋" w:eastAsia="仿宋" w:cs="仿宋"/>
                <w:sz w:val="32"/>
                <w:szCs w:val="32"/>
              </w:rPr>
              <w:t>偶尔（从每月一次到每年一次）</w:t>
            </w:r>
          </w:p>
        </w:tc>
        <w:tc>
          <w:tcPr>
            <w:shd w:val="clear" w:color="auto" w:fill="auto"/>
            <w:vAlign w:val="center"/>
          </w:tcPr>
          <w:p w14:paraId="7885B729">
            <w:pPr>
              <w:pStyle w:val="19"/>
              <w:rPr>
                <w:rFonts w:hint="eastAsia" w:ascii="仿宋" w:hAnsi="仿宋" w:eastAsia="仿宋" w:cs="仿宋"/>
                <w:sz w:val="32"/>
                <w:szCs w:val="32"/>
              </w:rPr>
            </w:pPr>
            <w:r>
              <w:rPr>
                <w:rFonts w:hint="eastAsia" w:ascii="仿宋" w:hAnsi="仿宋" w:eastAsia="仿宋" w:cs="仿宋"/>
                <w:sz w:val="32"/>
                <w:szCs w:val="32"/>
              </w:rPr>
              <w:t>暴露期在正常允许水平和法定极限值之间</w:t>
            </w:r>
          </w:p>
        </w:tc>
        <w:tc>
          <w:tcPr>
            <w:shd w:val="clear" w:color="auto" w:fill="auto"/>
            <w:vAlign w:val="center"/>
          </w:tcPr>
          <w:p w14:paraId="790D9164">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r>
      <w:tr w14:paraId="5DC25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2B538CEC">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0F0E6345">
            <w:pPr>
              <w:pStyle w:val="19"/>
              <w:rPr>
                <w:rFonts w:hint="eastAsia" w:ascii="仿宋" w:hAnsi="仿宋" w:eastAsia="仿宋" w:cs="仿宋"/>
                <w:sz w:val="32"/>
                <w:szCs w:val="32"/>
              </w:rPr>
            </w:pPr>
            <w:r>
              <w:rPr>
                <w:rFonts w:hint="eastAsia" w:ascii="仿宋" w:hAnsi="仿宋" w:eastAsia="仿宋" w:cs="仿宋"/>
                <w:sz w:val="32"/>
                <w:szCs w:val="32"/>
              </w:rPr>
              <w:t>很少（据说曾经发生过）</w:t>
            </w:r>
          </w:p>
        </w:tc>
        <w:tc>
          <w:tcPr>
            <w:shd w:val="clear" w:color="auto" w:fill="auto"/>
            <w:vAlign w:val="center"/>
          </w:tcPr>
          <w:p w14:paraId="01807577">
            <w:pPr>
              <w:pStyle w:val="19"/>
              <w:rPr>
                <w:rFonts w:hint="eastAsia" w:ascii="仿宋" w:hAnsi="仿宋" w:eastAsia="仿宋" w:cs="仿宋"/>
                <w:sz w:val="32"/>
                <w:szCs w:val="32"/>
              </w:rPr>
            </w:pPr>
            <w:r>
              <w:rPr>
                <w:rFonts w:hint="eastAsia" w:ascii="仿宋" w:hAnsi="仿宋" w:eastAsia="仿宋" w:cs="仿宋"/>
                <w:sz w:val="32"/>
                <w:szCs w:val="32"/>
              </w:rPr>
              <w:t>暴露期在正常允许水平内</w:t>
            </w:r>
          </w:p>
        </w:tc>
        <w:tc>
          <w:tcPr>
            <w:shd w:val="clear" w:color="auto" w:fill="auto"/>
            <w:vAlign w:val="center"/>
          </w:tcPr>
          <w:p w14:paraId="3120F2AE">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39628B1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39FA80B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750EB0C4">
            <w:pPr>
              <w:pStyle w:val="19"/>
              <w:rPr>
                <w:rFonts w:hint="eastAsia" w:ascii="仿宋" w:hAnsi="仿宋" w:eastAsia="仿宋" w:cs="仿宋"/>
                <w:sz w:val="32"/>
                <w:szCs w:val="32"/>
              </w:rPr>
            </w:pPr>
            <w:r>
              <w:rPr>
                <w:rFonts w:hint="eastAsia" w:ascii="仿宋" w:hAnsi="仿宋" w:eastAsia="仿宋" w:cs="仿宋"/>
                <w:sz w:val="32"/>
                <w:szCs w:val="32"/>
              </w:rPr>
              <w:t>特别少（没发生过，但有发生的可能性）</w:t>
            </w:r>
          </w:p>
        </w:tc>
        <w:tc>
          <w:tcPr>
            <w:shd w:val="clear" w:color="auto" w:fill="auto"/>
            <w:vAlign w:val="center"/>
          </w:tcPr>
          <w:p w14:paraId="6CC1B9D9">
            <w:pPr>
              <w:pStyle w:val="19"/>
              <w:rPr>
                <w:rFonts w:hint="eastAsia" w:ascii="仿宋" w:hAnsi="仿宋" w:eastAsia="仿宋" w:cs="仿宋"/>
                <w:sz w:val="32"/>
                <w:szCs w:val="32"/>
              </w:rPr>
            </w:pPr>
            <w:r>
              <w:rPr>
                <w:rFonts w:hint="eastAsia" w:ascii="仿宋" w:hAnsi="仿宋" w:eastAsia="仿宋" w:cs="仿宋"/>
                <w:sz w:val="32"/>
                <w:szCs w:val="32"/>
              </w:rPr>
              <w:t>暴露期低于正常允许水平</w:t>
            </w:r>
          </w:p>
        </w:tc>
        <w:tc>
          <w:tcPr>
            <w:shd w:val="clear" w:color="auto" w:fill="auto"/>
            <w:vAlign w:val="center"/>
          </w:tcPr>
          <w:p w14:paraId="6F7786D6">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0.5</w:t>
            </w:r>
          </w:p>
        </w:tc>
      </w:tr>
    </w:tbl>
    <w:p w14:paraId="4B9D118E">
      <w:pPr>
        <w:pStyle w:val="5"/>
        <w:rPr>
          <w:rFonts w:hint="eastAsia" w:ascii="仿宋" w:hAnsi="仿宋" w:eastAsia="仿宋" w:cs="仿宋"/>
          <w:b/>
          <w:bCs/>
          <w:sz w:val="32"/>
          <w:szCs w:val="32"/>
        </w:rPr>
      </w:pPr>
    </w:p>
    <w:p w14:paraId="3B312A46">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表3</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后果（C）基准值</w:t>
      </w:r>
    </w:p>
    <w:tbl>
      <w:tblPr>
        <w:tblStyle w:val="20"/>
        <w:tblW w:w="500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8" w:type="dxa"/>
          <w:left w:w="108" w:type="dxa"/>
          <w:bottom w:w="28" w:type="dxa"/>
          <w:right w:w="108" w:type="dxa"/>
        </w:tblCellMar>
      </w:tblPr>
      <w:tblGrid>
        <w:gridCol w:w="2131"/>
        <w:gridCol w:w="2131"/>
        <w:gridCol w:w="2131"/>
        <w:gridCol w:w="2131"/>
      </w:tblGrid>
      <w:tr w14:paraId="32A4BA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shd w:val="clear" w:color="auto" w:fill="auto"/>
            <w:vAlign w:val="center"/>
          </w:tcPr>
          <w:p w14:paraId="79D20557">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gridSpan w:val="2"/>
            <w:shd w:val="clear" w:color="auto" w:fill="auto"/>
            <w:vAlign w:val="center"/>
          </w:tcPr>
          <w:p w14:paraId="73C8094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事故可能造成后果的严重程度</w:t>
            </w:r>
          </w:p>
        </w:tc>
        <w:tc>
          <w:tcPr>
            <w:shd w:val="clear" w:color="auto" w:fill="auto"/>
            <w:vAlign w:val="center"/>
          </w:tcPr>
          <w:p w14:paraId="141569D3">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分值</w:t>
            </w:r>
          </w:p>
        </w:tc>
      </w:tr>
      <w:tr w14:paraId="7B9BA6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C8E49C6">
            <w:pPr>
              <w:pStyle w:val="19"/>
              <w:jc w:val="center"/>
              <w:rPr>
                <w:rFonts w:hint="eastAsia" w:ascii="仿宋" w:hAnsi="仿宋" w:eastAsia="仿宋" w:cs="仿宋"/>
                <w:sz w:val="32"/>
                <w:szCs w:val="32"/>
              </w:rPr>
            </w:pPr>
            <w:r>
              <w:rPr>
                <w:rFonts w:hint="eastAsia" w:ascii="仿宋" w:hAnsi="仿宋" w:eastAsia="仿宋" w:cs="仿宋"/>
                <w:sz w:val="32"/>
                <w:szCs w:val="32"/>
              </w:rPr>
              <w:t>1</w:t>
            </w:r>
          </w:p>
        </w:tc>
        <w:tc>
          <w:tcPr>
            <w:shd w:val="clear" w:color="auto" w:fill="auto"/>
            <w:vAlign w:val="center"/>
          </w:tcPr>
          <w:p w14:paraId="6E00F5A7">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2AAE10EE">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（1）造成死亡≥3人；或重伤≥10人。</w:t>
            </w:r>
          </w:p>
        </w:tc>
        <w:tc>
          <w:tcPr>
            <w:vMerge w:val="restart"/>
            <w:shd w:val="clear" w:color="auto" w:fill="auto"/>
            <w:vAlign w:val="center"/>
          </w:tcPr>
          <w:p w14:paraId="5AAA4EAA">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100</w:t>
            </w:r>
          </w:p>
        </w:tc>
      </w:tr>
      <w:tr w14:paraId="5277CB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B896CEC">
            <w:pPr>
              <w:rPr>
                <w:rFonts w:hint="eastAsia" w:ascii="仿宋" w:hAnsi="仿宋" w:eastAsia="仿宋" w:cs="仿宋"/>
                <w:sz w:val="32"/>
                <w:szCs w:val="32"/>
                <w:lang w:eastAsia="zh-CN"/>
              </w:rPr>
            </w:pPr>
          </w:p>
        </w:tc>
        <w:tc>
          <w:tcPr>
            <w:shd w:val="clear" w:color="auto" w:fill="auto"/>
            <w:vAlign w:val="center"/>
          </w:tcPr>
          <w:p w14:paraId="2EB33039">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223D968E">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（1）造成设备或财产损失≥1000万元。</w:t>
            </w:r>
          </w:p>
        </w:tc>
        <w:tc>
          <w:tcPr>
            <w:vMerge w:val="continue"/>
            <w:shd w:val="clear" w:color="auto" w:fill="auto"/>
            <w:vAlign w:val="center"/>
          </w:tcPr>
          <w:p w14:paraId="5233CF5D">
            <w:pPr>
              <w:rPr>
                <w:rFonts w:hint="eastAsia" w:ascii="仿宋" w:hAnsi="仿宋" w:eastAsia="仿宋" w:cs="仿宋"/>
                <w:sz w:val="32"/>
                <w:szCs w:val="32"/>
                <w:lang w:eastAsia="zh-CN"/>
              </w:rPr>
            </w:pPr>
          </w:p>
        </w:tc>
      </w:tr>
      <w:tr w14:paraId="67AD37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791178A">
            <w:pPr>
              <w:rPr>
                <w:rFonts w:hint="eastAsia" w:ascii="仿宋" w:hAnsi="仿宋" w:eastAsia="仿宋" w:cs="仿宋"/>
                <w:sz w:val="32"/>
                <w:szCs w:val="32"/>
                <w:lang w:eastAsia="zh-CN"/>
              </w:rPr>
            </w:pPr>
          </w:p>
        </w:tc>
        <w:tc>
          <w:tcPr>
            <w:shd w:val="clear" w:color="auto" w:fill="auto"/>
            <w:vAlign w:val="center"/>
          </w:tcPr>
          <w:p w14:paraId="5229DDD5">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26F820D9">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（1）造成较大以上电力安全事故。</w:t>
            </w:r>
          </w:p>
        </w:tc>
        <w:tc>
          <w:tcPr>
            <w:vMerge w:val="continue"/>
            <w:shd w:val="clear" w:color="auto" w:fill="auto"/>
            <w:vAlign w:val="center"/>
          </w:tcPr>
          <w:p w14:paraId="7B1E85D0">
            <w:pPr>
              <w:rPr>
                <w:rFonts w:hint="eastAsia" w:ascii="仿宋" w:hAnsi="仿宋" w:eastAsia="仿宋" w:cs="仿宋"/>
                <w:sz w:val="32"/>
                <w:szCs w:val="32"/>
                <w:lang w:eastAsia="zh-CN"/>
              </w:rPr>
            </w:pPr>
          </w:p>
        </w:tc>
      </w:tr>
      <w:tr w14:paraId="0D6A80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03695E9">
            <w:pPr>
              <w:rPr>
                <w:rFonts w:hint="eastAsia" w:ascii="仿宋" w:hAnsi="仿宋" w:eastAsia="仿宋" w:cs="仿宋"/>
                <w:sz w:val="32"/>
                <w:szCs w:val="32"/>
                <w:lang w:eastAsia="zh-CN"/>
              </w:rPr>
            </w:pPr>
          </w:p>
        </w:tc>
        <w:tc>
          <w:tcPr>
            <w:shd w:val="clear" w:color="auto" w:fill="auto"/>
            <w:vAlign w:val="center"/>
          </w:tcPr>
          <w:p w14:paraId="32FEDAD1">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0CCAF3BD">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（1）造成大范围环境破坏；</w:t>
            </w:r>
            <w:r>
              <w:rPr>
                <w:rFonts w:hint="eastAsia" w:ascii="仿宋" w:hAnsi="仿宋" w:eastAsia="仿宋" w:cs="仿宋"/>
                <w:sz w:val="32"/>
                <w:szCs w:val="32"/>
              </w:rPr>
              <w:br w:type="textWrapping"/>
            </w:r>
            <w:r>
              <w:rPr>
                <w:rFonts w:hint="eastAsia" w:ascii="仿宋" w:hAnsi="仿宋" w:eastAsia="仿宋" w:cs="仿宋"/>
                <w:sz w:val="32"/>
                <w:szCs w:val="32"/>
              </w:rPr>
              <w:t>（2）造成人员死亡、环境恢复困难；</w:t>
            </w:r>
            <w:r>
              <w:rPr>
                <w:rFonts w:hint="eastAsia" w:ascii="仿宋" w:hAnsi="仿宋" w:eastAsia="仿宋" w:cs="仿宋"/>
                <w:sz w:val="32"/>
                <w:szCs w:val="32"/>
              </w:rPr>
              <w:br w:type="textWrapping"/>
            </w:r>
            <w:r>
              <w:rPr>
                <w:rFonts w:hint="eastAsia" w:ascii="仿宋" w:hAnsi="仿宋" w:eastAsia="仿宋" w:cs="仿宋"/>
                <w:sz w:val="32"/>
                <w:szCs w:val="32"/>
              </w:rPr>
              <w:t>（3）严重违反国家环境保护法律法规。</w:t>
            </w:r>
          </w:p>
        </w:tc>
        <w:tc>
          <w:tcPr>
            <w:vMerge w:val="continue"/>
            <w:shd w:val="clear" w:color="auto" w:fill="auto"/>
            <w:vAlign w:val="center"/>
          </w:tcPr>
          <w:p w14:paraId="4DBC3BE7">
            <w:pPr>
              <w:rPr>
                <w:rFonts w:hint="eastAsia" w:ascii="仿宋" w:hAnsi="仿宋" w:eastAsia="仿宋" w:cs="仿宋"/>
                <w:sz w:val="32"/>
                <w:szCs w:val="32"/>
                <w:lang w:eastAsia="zh-CN"/>
              </w:rPr>
            </w:pPr>
          </w:p>
        </w:tc>
      </w:tr>
      <w:tr w14:paraId="23EEAE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EAD65E6">
            <w:pPr>
              <w:rPr>
                <w:rFonts w:hint="eastAsia" w:ascii="仿宋" w:hAnsi="仿宋" w:eastAsia="仿宋" w:cs="仿宋"/>
                <w:sz w:val="32"/>
                <w:szCs w:val="32"/>
                <w:lang w:eastAsia="zh-CN"/>
              </w:rPr>
            </w:pPr>
          </w:p>
        </w:tc>
        <w:tc>
          <w:tcPr>
            <w:shd w:val="clear" w:color="auto" w:fill="auto"/>
            <w:vAlign w:val="center"/>
          </w:tcPr>
          <w:p w14:paraId="19565095">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71DBC33C">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（1）造成3～9例无法复原的严重职业病；</w:t>
            </w:r>
            <w:r>
              <w:rPr>
                <w:rFonts w:hint="eastAsia" w:ascii="仿宋" w:hAnsi="仿宋" w:eastAsia="仿宋" w:cs="仿宋"/>
                <w:sz w:val="32"/>
                <w:szCs w:val="32"/>
              </w:rPr>
              <w:br w:type="textWrapping"/>
            </w:r>
            <w:r>
              <w:rPr>
                <w:rFonts w:hint="eastAsia" w:ascii="仿宋" w:hAnsi="仿宋" w:eastAsia="仿宋" w:cs="仿宋"/>
                <w:sz w:val="32"/>
                <w:szCs w:val="32"/>
              </w:rPr>
              <w:t>（2）造成9例以上很难治愈的职业病。</w:t>
            </w:r>
          </w:p>
        </w:tc>
        <w:tc>
          <w:tcPr>
            <w:vMerge w:val="continue"/>
            <w:shd w:val="clear" w:color="auto" w:fill="auto"/>
            <w:vAlign w:val="center"/>
          </w:tcPr>
          <w:p w14:paraId="360D53CD">
            <w:pPr>
              <w:rPr>
                <w:rFonts w:hint="eastAsia" w:ascii="仿宋" w:hAnsi="仿宋" w:eastAsia="仿宋" w:cs="仿宋"/>
                <w:sz w:val="32"/>
                <w:szCs w:val="32"/>
                <w:lang w:eastAsia="zh-CN"/>
              </w:rPr>
            </w:pPr>
          </w:p>
        </w:tc>
      </w:tr>
      <w:tr w14:paraId="1A95A8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50223305">
            <w:pPr>
              <w:pStyle w:val="19"/>
              <w:jc w:val="center"/>
              <w:rPr>
                <w:rFonts w:hint="eastAsia" w:ascii="仿宋" w:hAnsi="仿宋" w:eastAsia="仿宋" w:cs="仿宋"/>
                <w:sz w:val="32"/>
                <w:szCs w:val="32"/>
              </w:rPr>
            </w:pPr>
            <w:r>
              <w:rPr>
                <w:rFonts w:hint="eastAsia" w:ascii="仿宋" w:hAnsi="仿宋" w:eastAsia="仿宋" w:cs="仿宋"/>
                <w:sz w:val="32"/>
                <w:szCs w:val="32"/>
              </w:rPr>
              <w:t>2</w:t>
            </w:r>
          </w:p>
        </w:tc>
        <w:tc>
          <w:tcPr>
            <w:shd w:val="clear" w:color="auto" w:fill="auto"/>
            <w:vAlign w:val="center"/>
          </w:tcPr>
          <w:p w14:paraId="1E963390">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7AC55451">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（1）造成1～2人死亡；或重伤3～9人。</w:t>
            </w:r>
          </w:p>
        </w:tc>
        <w:tc>
          <w:tcPr>
            <w:vMerge w:val="restart"/>
            <w:shd w:val="clear" w:color="auto" w:fill="auto"/>
            <w:vAlign w:val="center"/>
          </w:tcPr>
          <w:p w14:paraId="4DCB0E9E">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50</w:t>
            </w:r>
          </w:p>
        </w:tc>
      </w:tr>
      <w:tr w14:paraId="0B1C50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96518E3">
            <w:pPr>
              <w:rPr>
                <w:rFonts w:hint="eastAsia" w:ascii="仿宋" w:hAnsi="仿宋" w:eastAsia="仿宋" w:cs="仿宋"/>
                <w:sz w:val="32"/>
                <w:szCs w:val="32"/>
                <w:lang w:eastAsia="zh-CN"/>
              </w:rPr>
            </w:pPr>
          </w:p>
        </w:tc>
        <w:tc>
          <w:tcPr>
            <w:shd w:val="clear" w:color="auto" w:fill="auto"/>
            <w:vAlign w:val="center"/>
          </w:tcPr>
          <w:p w14:paraId="6AB8FBEE">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63201411">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（1）造成设备或财产损失在100万元到1000万元之间。</w:t>
            </w:r>
          </w:p>
        </w:tc>
        <w:tc>
          <w:tcPr>
            <w:vMerge w:val="continue"/>
            <w:shd w:val="clear" w:color="auto" w:fill="auto"/>
            <w:vAlign w:val="center"/>
          </w:tcPr>
          <w:p w14:paraId="6BE443E1">
            <w:pPr>
              <w:rPr>
                <w:rFonts w:hint="eastAsia" w:ascii="仿宋" w:hAnsi="仿宋" w:eastAsia="仿宋" w:cs="仿宋"/>
                <w:sz w:val="32"/>
                <w:szCs w:val="32"/>
                <w:lang w:eastAsia="zh-CN"/>
              </w:rPr>
            </w:pPr>
          </w:p>
        </w:tc>
      </w:tr>
      <w:tr w14:paraId="6A3426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EBDEDA0">
            <w:pPr>
              <w:rPr>
                <w:rFonts w:hint="eastAsia" w:ascii="仿宋" w:hAnsi="仿宋" w:eastAsia="仿宋" w:cs="仿宋"/>
                <w:sz w:val="32"/>
                <w:szCs w:val="32"/>
                <w:lang w:eastAsia="zh-CN"/>
              </w:rPr>
            </w:pPr>
          </w:p>
        </w:tc>
        <w:tc>
          <w:tcPr>
            <w:shd w:val="clear" w:color="auto" w:fill="auto"/>
            <w:vAlign w:val="center"/>
          </w:tcPr>
          <w:p w14:paraId="40FB789B">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337B0BC7">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（1）造成一般电力安全事故且中断安全记录。</w:t>
            </w:r>
          </w:p>
        </w:tc>
        <w:tc>
          <w:tcPr>
            <w:vMerge w:val="continue"/>
            <w:shd w:val="clear" w:color="auto" w:fill="auto"/>
            <w:vAlign w:val="center"/>
          </w:tcPr>
          <w:p w14:paraId="16B416C6">
            <w:pPr>
              <w:rPr>
                <w:rFonts w:hint="eastAsia" w:ascii="仿宋" w:hAnsi="仿宋" w:eastAsia="仿宋" w:cs="仿宋"/>
                <w:sz w:val="32"/>
                <w:szCs w:val="32"/>
                <w:lang w:eastAsia="zh-CN"/>
              </w:rPr>
            </w:pPr>
          </w:p>
        </w:tc>
      </w:tr>
      <w:tr w14:paraId="63216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9A40BC5">
            <w:pPr>
              <w:rPr>
                <w:rFonts w:hint="eastAsia" w:ascii="仿宋" w:hAnsi="仿宋" w:eastAsia="仿宋" w:cs="仿宋"/>
                <w:sz w:val="32"/>
                <w:szCs w:val="32"/>
                <w:lang w:eastAsia="zh-CN"/>
              </w:rPr>
            </w:pPr>
          </w:p>
        </w:tc>
        <w:tc>
          <w:tcPr>
            <w:shd w:val="clear" w:color="auto" w:fill="auto"/>
            <w:vAlign w:val="center"/>
          </w:tcPr>
          <w:p w14:paraId="375C150E">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573154D2">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（1）造成较大范围的环境破坏；</w:t>
            </w:r>
            <w:r>
              <w:rPr>
                <w:rFonts w:hint="eastAsia" w:ascii="仿宋" w:hAnsi="仿宋" w:eastAsia="仿宋" w:cs="仿宋"/>
                <w:sz w:val="32"/>
                <w:szCs w:val="32"/>
              </w:rPr>
              <w:br w:type="textWrapping"/>
            </w:r>
            <w:r>
              <w:rPr>
                <w:rFonts w:hint="eastAsia" w:ascii="仿宋" w:hAnsi="仿宋" w:eastAsia="仿宋" w:cs="仿宋"/>
                <w:sz w:val="32"/>
                <w:szCs w:val="32"/>
              </w:rPr>
              <w:t>（2）影响后果可导致急性疾病或重大伤残，居民需要撤离；</w:t>
            </w:r>
            <w:r>
              <w:rPr>
                <w:rFonts w:hint="eastAsia" w:ascii="仿宋" w:hAnsi="仿宋" w:eastAsia="仿宋" w:cs="仿宋"/>
                <w:sz w:val="32"/>
                <w:szCs w:val="32"/>
              </w:rPr>
              <w:br w:type="textWrapping"/>
            </w:r>
            <w:r>
              <w:rPr>
                <w:rFonts w:hint="eastAsia" w:ascii="仿宋" w:hAnsi="仿宋" w:eastAsia="仿宋" w:cs="仿宋"/>
                <w:sz w:val="32"/>
                <w:szCs w:val="32"/>
              </w:rPr>
              <w:t>（3）政府要求整顿。</w:t>
            </w:r>
          </w:p>
        </w:tc>
        <w:tc>
          <w:tcPr>
            <w:vMerge w:val="continue"/>
            <w:shd w:val="clear" w:color="auto" w:fill="auto"/>
            <w:vAlign w:val="center"/>
          </w:tcPr>
          <w:p w14:paraId="57552AF9">
            <w:pPr>
              <w:rPr>
                <w:rFonts w:hint="eastAsia" w:ascii="仿宋" w:hAnsi="仿宋" w:eastAsia="仿宋" w:cs="仿宋"/>
                <w:sz w:val="32"/>
                <w:szCs w:val="32"/>
                <w:lang w:eastAsia="zh-CN"/>
              </w:rPr>
            </w:pPr>
          </w:p>
        </w:tc>
      </w:tr>
      <w:tr w14:paraId="6F415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14BF5C8">
            <w:pPr>
              <w:rPr>
                <w:rFonts w:hint="eastAsia" w:ascii="仿宋" w:hAnsi="仿宋" w:eastAsia="仿宋" w:cs="仿宋"/>
                <w:sz w:val="32"/>
                <w:szCs w:val="32"/>
                <w:lang w:eastAsia="zh-CN"/>
              </w:rPr>
            </w:pPr>
          </w:p>
        </w:tc>
        <w:tc>
          <w:tcPr>
            <w:shd w:val="clear" w:color="auto" w:fill="auto"/>
            <w:vAlign w:val="center"/>
          </w:tcPr>
          <w:p w14:paraId="623BB13C">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16B4D612">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（1）造成1～2例无法复原的严重职业病；</w:t>
            </w:r>
            <w:r>
              <w:rPr>
                <w:rFonts w:hint="eastAsia" w:ascii="仿宋" w:hAnsi="仿宋" w:eastAsia="仿宋" w:cs="仿宋"/>
                <w:sz w:val="32"/>
                <w:szCs w:val="32"/>
              </w:rPr>
              <w:br w:type="textWrapping"/>
            </w:r>
            <w:r>
              <w:rPr>
                <w:rFonts w:hint="eastAsia" w:ascii="仿宋" w:hAnsi="仿宋" w:eastAsia="仿宋" w:cs="仿宋"/>
                <w:sz w:val="32"/>
                <w:szCs w:val="32"/>
              </w:rPr>
              <w:t>（2）造成3～9例以上很难治愈的职业病。</w:t>
            </w:r>
          </w:p>
        </w:tc>
        <w:tc>
          <w:tcPr>
            <w:vMerge w:val="continue"/>
            <w:shd w:val="clear" w:color="auto" w:fill="auto"/>
            <w:vAlign w:val="center"/>
          </w:tcPr>
          <w:p w14:paraId="4369792C">
            <w:pPr>
              <w:rPr>
                <w:rFonts w:hint="eastAsia" w:ascii="仿宋" w:hAnsi="仿宋" w:eastAsia="仿宋" w:cs="仿宋"/>
                <w:sz w:val="32"/>
                <w:szCs w:val="32"/>
                <w:lang w:eastAsia="zh-CN"/>
              </w:rPr>
            </w:pPr>
          </w:p>
        </w:tc>
      </w:tr>
      <w:tr w14:paraId="127662F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16FAD9F">
            <w:pPr>
              <w:pStyle w:val="19"/>
              <w:jc w:val="center"/>
              <w:rPr>
                <w:rFonts w:hint="eastAsia" w:ascii="仿宋" w:hAnsi="仿宋" w:eastAsia="仿宋" w:cs="仿宋"/>
                <w:sz w:val="32"/>
                <w:szCs w:val="32"/>
              </w:rPr>
            </w:pPr>
            <w:r>
              <w:rPr>
                <w:rFonts w:hint="eastAsia" w:ascii="仿宋" w:hAnsi="仿宋" w:eastAsia="仿宋" w:cs="仿宋"/>
                <w:sz w:val="32"/>
                <w:szCs w:val="32"/>
              </w:rPr>
              <w:t>3</w:t>
            </w:r>
          </w:p>
        </w:tc>
        <w:tc>
          <w:tcPr>
            <w:shd w:val="clear" w:color="auto" w:fill="auto"/>
            <w:vAlign w:val="center"/>
          </w:tcPr>
          <w:p w14:paraId="2B8ECDBA">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64788BF0">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（1）造成重伤1～2人。</w:t>
            </w:r>
          </w:p>
        </w:tc>
        <w:tc>
          <w:tcPr>
            <w:vMerge w:val="restart"/>
            <w:shd w:val="clear" w:color="auto" w:fill="auto"/>
            <w:vAlign w:val="center"/>
          </w:tcPr>
          <w:p w14:paraId="34761DF2">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25</w:t>
            </w:r>
          </w:p>
        </w:tc>
      </w:tr>
      <w:tr w14:paraId="758DB1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8136AA0">
            <w:pPr>
              <w:rPr>
                <w:rFonts w:hint="eastAsia" w:ascii="仿宋" w:hAnsi="仿宋" w:eastAsia="仿宋" w:cs="仿宋"/>
                <w:sz w:val="32"/>
                <w:szCs w:val="32"/>
                <w:lang w:eastAsia="zh-CN"/>
              </w:rPr>
            </w:pPr>
          </w:p>
        </w:tc>
        <w:tc>
          <w:tcPr>
            <w:shd w:val="clear" w:color="auto" w:fill="auto"/>
            <w:vAlign w:val="center"/>
          </w:tcPr>
          <w:p w14:paraId="605776BD">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502DA1AE">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（1）造成设备或财产损失在50万元到100万元之间。</w:t>
            </w:r>
          </w:p>
        </w:tc>
        <w:tc>
          <w:tcPr>
            <w:vMerge w:val="continue"/>
            <w:shd w:val="clear" w:color="auto" w:fill="auto"/>
            <w:vAlign w:val="center"/>
          </w:tcPr>
          <w:p w14:paraId="1EAEBCF1">
            <w:pPr>
              <w:rPr>
                <w:rFonts w:hint="eastAsia" w:ascii="仿宋" w:hAnsi="仿宋" w:eastAsia="仿宋" w:cs="仿宋"/>
                <w:sz w:val="32"/>
                <w:szCs w:val="32"/>
                <w:lang w:eastAsia="zh-CN"/>
              </w:rPr>
            </w:pPr>
          </w:p>
        </w:tc>
      </w:tr>
      <w:tr w14:paraId="0878F7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98D7C83">
            <w:pPr>
              <w:rPr>
                <w:rFonts w:hint="eastAsia" w:ascii="仿宋" w:hAnsi="仿宋" w:eastAsia="仿宋" w:cs="仿宋"/>
                <w:sz w:val="32"/>
                <w:szCs w:val="32"/>
                <w:lang w:eastAsia="zh-CN"/>
              </w:rPr>
            </w:pPr>
          </w:p>
        </w:tc>
        <w:tc>
          <w:tcPr>
            <w:shd w:val="clear" w:color="auto" w:fill="auto"/>
            <w:vAlign w:val="center"/>
          </w:tcPr>
          <w:p w14:paraId="5925DA4D">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17A1635D">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（1）造成内部统计事故。</w:t>
            </w:r>
          </w:p>
        </w:tc>
        <w:tc>
          <w:tcPr>
            <w:vMerge w:val="continue"/>
            <w:shd w:val="clear" w:color="auto" w:fill="auto"/>
            <w:vAlign w:val="center"/>
          </w:tcPr>
          <w:p w14:paraId="52CF53CF">
            <w:pPr>
              <w:rPr>
                <w:rFonts w:hint="eastAsia" w:ascii="仿宋" w:hAnsi="仿宋" w:eastAsia="仿宋" w:cs="仿宋"/>
                <w:sz w:val="32"/>
                <w:szCs w:val="32"/>
                <w:lang w:eastAsia="zh-CN"/>
              </w:rPr>
            </w:pPr>
          </w:p>
        </w:tc>
      </w:tr>
      <w:tr w14:paraId="31FCBF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F2B9B02">
            <w:pPr>
              <w:rPr>
                <w:rFonts w:hint="eastAsia" w:ascii="仿宋" w:hAnsi="仿宋" w:eastAsia="仿宋" w:cs="仿宋"/>
                <w:sz w:val="32"/>
                <w:szCs w:val="32"/>
                <w:lang w:eastAsia="zh-CN"/>
              </w:rPr>
            </w:pPr>
          </w:p>
        </w:tc>
        <w:tc>
          <w:tcPr>
            <w:shd w:val="clear" w:color="auto" w:fill="auto"/>
            <w:vAlign w:val="center"/>
          </w:tcPr>
          <w:p w14:paraId="1244D616">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1FA97885">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（1）影响到周边居民及生态环境，引起居民抗争。</w:t>
            </w:r>
          </w:p>
        </w:tc>
        <w:tc>
          <w:tcPr>
            <w:vMerge w:val="continue"/>
            <w:shd w:val="clear" w:color="auto" w:fill="auto"/>
            <w:vAlign w:val="center"/>
          </w:tcPr>
          <w:p w14:paraId="099C8A51">
            <w:pPr>
              <w:rPr>
                <w:rFonts w:hint="eastAsia" w:ascii="仿宋" w:hAnsi="仿宋" w:eastAsia="仿宋" w:cs="仿宋"/>
                <w:sz w:val="32"/>
                <w:szCs w:val="32"/>
                <w:lang w:eastAsia="zh-CN"/>
              </w:rPr>
            </w:pPr>
          </w:p>
        </w:tc>
      </w:tr>
      <w:tr w14:paraId="335D9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91DE2BC">
            <w:pPr>
              <w:rPr>
                <w:rFonts w:hint="eastAsia" w:ascii="仿宋" w:hAnsi="仿宋" w:eastAsia="仿宋" w:cs="仿宋"/>
                <w:sz w:val="32"/>
                <w:szCs w:val="32"/>
                <w:lang w:eastAsia="zh-CN"/>
              </w:rPr>
            </w:pPr>
          </w:p>
        </w:tc>
        <w:tc>
          <w:tcPr>
            <w:shd w:val="clear" w:color="auto" w:fill="auto"/>
            <w:vAlign w:val="center"/>
          </w:tcPr>
          <w:p w14:paraId="5EA5ED03">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4FE4B9AF">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（1）造成1～2例难治愈或造成3～9例可治愈的职业病；</w:t>
            </w:r>
            <w:r>
              <w:rPr>
                <w:rFonts w:hint="eastAsia" w:ascii="仿宋" w:hAnsi="仿宋" w:eastAsia="仿宋" w:cs="仿宋"/>
                <w:sz w:val="32"/>
                <w:szCs w:val="32"/>
              </w:rPr>
              <w:br w:type="textWrapping"/>
            </w:r>
            <w:r>
              <w:rPr>
                <w:rFonts w:hint="eastAsia" w:ascii="仿宋" w:hAnsi="仿宋" w:eastAsia="仿宋" w:cs="仿宋"/>
                <w:sz w:val="32"/>
                <w:szCs w:val="32"/>
              </w:rPr>
              <w:t>（2）造成9例以上与职业有关的疾病。</w:t>
            </w:r>
          </w:p>
        </w:tc>
        <w:tc>
          <w:tcPr>
            <w:vMerge w:val="continue"/>
            <w:shd w:val="clear" w:color="auto" w:fill="auto"/>
            <w:vAlign w:val="center"/>
          </w:tcPr>
          <w:p w14:paraId="40F3F5FF">
            <w:pPr>
              <w:rPr>
                <w:rFonts w:hint="eastAsia" w:ascii="仿宋" w:hAnsi="仿宋" w:eastAsia="仿宋" w:cs="仿宋"/>
                <w:sz w:val="32"/>
                <w:szCs w:val="32"/>
                <w:lang w:eastAsia="zh-CN"/>
              </w:rPr>
            </w:pPr>
          </w:p>
        </w:tc>
      </w:tr>
      <w:tr w14:paraId="507E8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33E0EC7C">
            <w:pPr>
              <w:pStyle w:val="19"/>
              <w:jc w:val="center"/>
              <w:rPr>
                <w:rFonts w:hint="eastAsia" w:ascii="仿宋" w:hAnsi="仿宋" w:eastAsia="仿宋" w:cs="仿宋"/>
                <w:sz w:val="32"/>
                <w:szCs w:val="32"/>
              </w:rPr>
            </w:pPr>
            <w:r>
              <w:rPr>
                <w:rFonts w:hint="eastAsia" w:ascii="仿宋" w:hAnsi="仿宋" w:eastAsia="仿宋" w:cs="仿宋"/>
                <w:sz w:val="32"/>
                <w:szCs w:val="32"/>
              </w:rPr>
              <w:t>4</w:t>
            </w:r>
          </w:p>
        </w:tc>
        <w:tc>
          <w:tcPr>
            <w:shd w:val="clear" w:color="auto" w:fill="auto"/>
            <w:vAlign w:val="center"/>
          </w:tcPr>
          <w:p w14:paraId="11142057">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1212027E">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（1）造成轻伤3人以上。</w:t>
            </w:r>
          </w:p>
        </w:tc>
        <w:tc>
          <w:tcPr>
            <w:vMerge w:val="restart"/>
            <w:shd w:val="clear" w:color="auto" w:fill="auto"/>
            <w:vAlign w:val="center"/>
          </w:tcPr>
          <w:p w14:paraId="1BFC9E5D">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15</w:t>
            </w:r>
          </w:p>
        </w:tc>
      </w:tr>
      <w:tr w14:paraId="60703F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831DCB1">
            <w:pPr>
              <w:rPr>
                <w:rFonts w:hint="eastAsia" w:ascii="仿宋" w:hAnsi="仿宋" w:eastAsia="仿宋" w:cs="仿宋"/>
                <w:sz w:val="32"/>
                <w:szCs w:val="32"/>
                <w:lang w:eastAsia="zh-CN"/>
              </w:rPr>
            </w:pPr>
          </w:p>
        </w:tc>
        <w:tc>
          <w:tcPr>
            <w:shd w:val="clear" w:color="auto" w:fill="auto"/>
            <w:vAlign w:val="center"/>
          </w:tcPr>
          <w:p w14:paraId="00486ACB">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7BCD12E9">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（1）造成设备或财产损失在10万元到50万元之间。</w:t>
            </w:r>
          </w:p>
        </w:tc>
        <w:tc>
          <w:tcPr>
            <w:vMerge w:val="continue"/>
            <w:shd w:val="clear" w:color="auto" w:fill="auto"/>
            <w:vAlign w:val="center"/>
          </w:tcPr>
          <w:p w14:paraId="6EB31553">
            <w:pPr>
              <w:rPr>
                <w:rFonts w:hint="eastAsia" w:ascii="仿宋" w:hAnsi="仿宋" w:eastAsia="仿宋" w:cs="仿宋"/>
                <w:sz w:val="32"/>
                <w:szCs w:val="32"/>
                <w:lang w:eastAsia="zh-CN"/>
              </w:rPr>
            </w:pPr>
          </w:p>
        </w:tc>
      </w:tr>
      <w:tr w14:paraId="0CBC51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3AF6CCC8">
            <w:pPr>
              <w:rPr>
                <w:rFonts w:hint="eastAsia" w:ascii="仿宋" w:hAnsi="仿宋" w:eastAsia="仿宋" w:cs="仿宋"/>
                <w:sz w:val="32"/>
                <w:szCs w:val="32"/>
                <w:lang w:eastAsia="zh-CN"/>
              </w:rPr>
            </w:pPr>
          </w:p>
        </w:tc>
        <w:tc>
          <w:tcPr>
            <w:shd w:val="clear" w:color="auto" w:fill="auto"/>
            <w:vAlign w:val="center"/>
          </w:tcPr>
          <w:p w14:paraId="5E805A7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568BBE00">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（1）造成设备一类障碍。</w:t>
            </w:r>
          </w:p>
        </w:tc>
        <w:tc>
          <w:tcPr>
            <w:vMerge w:val="continue"/>
            <w:shd w:val="clear" w:color="auto" w:fill="auto"/>
            <w:vAlign w:val="center"/>
          </w:tcPr>
          <w:p w14:paraId="1B539B05">
            <w:pPr>
              <w:rPr>
                <w:rFonts w:hint="eastAsia" w:ascii="仿宋" w:hAnsi="仿宋" w:eastAsia="仿宋" w:cs="仿宋"/>
                <w:sz w:val="32"/>
                <w:szCs w:val="32"/>
                <w:lang w:eastAsia="zh-CN"/>
              </w:rPr>
            </w:pPr>
          </w:p>
        </w:tc>
      </w:tr>
      <w:tr w14:paraId="21F39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24F1E422">
            <w:pPr>
              <w:rPr>
                <w:rFonts w:hint="eastAsia" w:ascii="仿宋" w:hAnsi="仿宋" w:eastAsia="仿宋" w:cs="仿宋"/>
                <w:sz w:val="32"/>
                <w:szCs w:val="32"/>
                <w:lang w:eastAsia="zh-CN"/>
              </w:rPr>
            </w:pPr>
          </w:p>
        </w:tc>
        <w:tc>
          <w:tcPr>
            <w:shd w:val="clear" w:color="auto" w:fill="auto"/>
            <w:vAlign w:val="center"/>
          </w:tcPr>
          <w:p w14:paraId="131B36D6">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1FB0BAE1">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（1）对周边居民及环境有些影响，引起居民抱怨、投诉。</w:t>
            </w:r>
          </w:p>
        </w:tc>
        <w:tc>
          <w:tcPr>
            <w:vMerge w:val="continue"/>
            <w:shd w:val="clear" w:color="auto" w:fill="auto"/>
            <w:vAlign w:val="center"/>
          </w:tcPr>
          <w:p w14:paraId="2C304C89">
            <w:pPr>
              <w:rPr>
                <w:rFonts w:hint="eastAsia" w:ascii="仿宋" w:hAnsi="仿宋" w:eastAsia="仿宋" w:cs="仿宋"/>
                <w:sz w:val="32"/>
                <w:szCs w:val="32"/>
                <w:lang w:eastAsia="zh-CN"/>
              </w:rPr>
            </w:pPr>
          </w:p>
        </w:tc>
      </w:tr>
      <w:tr w14:paraId="4546D34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57A1EAD0">
            <w:pPr>
              <w:rPr>
                <w:rFonts w:hint="eastAsia" w:ascii="仿宋" w:hAnsi="仿宋" w:eastAsia="仿宋" w:cs="仿宋"/>
                <w:sz w:val="32"/>
                <w:szCs w:val="32"/>
                <w:lang w:eastAsia="zh-CN"/>
              </w:rPr>
            </w:pPr>
          </w:p>
        </w:tc>
        <w:tc>
          <w:tcPr>
            <w:shd w:val="clear" w:color="auto" w:fill="auto"/>
            <w:vAlign w:val="center"/>
          </w:tcPr>
          <w:p w14:paraId="7492032D">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5DC65EF1">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（1）造成1～2例可治愈的职业病；</w:t>
            </w:r>
            <w:r>
              <w:rPr>
                <w:rFonts w:hint="eastAsia" w:ascii="仿宋" w:hAnsi="仿宋" w:eastAsia="仿宋" w:cs="仿宋"/>
                <w:sz w:val="32"/>
                <w:szCs w:val="32"/>
              </w:rPr>
              <w:br w:type="textWrapping"/>
            </w:r>
            <w:r>
              <w:rPr>
                <w:rFonts w:hint="eastAsia" w:ascii="仿宋" w:hAnsi="仿宋" w:eastAsia="仿宋" w:cs="仿宋"/>
                <w:sz w:val="32"/>
                <w:szCs w:val="32"/>
              </w:rPr>
              <w:t>（2）造成3～9例与职业有关的疾病。</w:t>
            </w:r>
          </w:p>
        </w:tc>
        <w:tc>
          <w:tcPr>
            <w:vMerge w:val="continue"/>
            <w:shd w:val="clear" w:color="auto" w:fill="auto"/>
            <w:vAlign w:val="center"/>
          </w:tcPr>
          <w:p w14:paraId="012BCCF0">
            <w:pPr>
              <w:rPr>
                <w:rFonts w:hint="eastAsia" w:ascii="仿宋" w:hAnsi="仿宋" w:eastAsia="仿宋" w:cs="仿宋"/>
                <w:sz w:val="32"/>
                <w:szCs w:val="32"/>
                <w:lang w:eastAsia="zh-CN"/>
              </w:rPr>
            </w:pPr>
          </w:p>
        </w:tc>
      </w:tr>
      <w:tr w14:paraId="7E8F4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2ECD0A85">
            <w:pPr>
              <w:pStyle w:val="19"/>
              <w:jc w:val="center"/>
              <w:rPr>
                <w:rFonts w:hint="eastAsia" w:ascii="仿宋" w:hAnsi="仿宋" w:eastAsia="仿宋" w:cs="仿宋"/>
                <w:sz w:val="32"/>
                <w:szCs w:val="32"/>
              </w:rPr>
            </w:pPr>
            <w:r>
              <w:rPr>
                <w:rFonts w:hint="eastAsia" w:ascii="仿宋" w:hAnsi="仿宋" w:eastAsia="仿宋" w:cs="仿宋"/>
                <w:sz w:val="32"/>
                <w:szCs w:val="32"/>
              </w:rPr>
              <w:t>5</w:t>
            </w:r>
          </w:p>
        </w:tc>
        <w:tc>
          <w:tcPr>
            <w:shd w:val="clear" w:color="auto" w:fill="auto"/>
            <w:vAlign w:val="center"/>
          </w:tcPr>
          <w:p w14:paraId="45B6F4F0">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4E0A2DB6">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（1）造成轻伤1～2人。</w:t>
            </w:r>
          </w:p>
        </w:tc>
        <w:tc>
          <w:tcPr>
            <w:vMerge w:val="restart"/>
            <w:shd w:val="clear" w:color="auto" w:fill="auto"/>
            <w:vAlign w:val="center"/>
          </w:tcPr>
          <w:p w14:paraId="3BE3CCB1">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5</w:t>
            </w:r>
          </w:p>
        </w:tc>
      </w:tr>
      <w:tr w14:paraId="189C57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E96A9DC">
            <w:pPr>
              <w:rPr>
                <w:rFonts w:hint="eastAsia" w:ascii="仿宋" w:hAnsi="仿宋" w:eastAsia="仿宋" w:cs="仿宋"/>
                <w:sz w:val="32"/>
                <w:szCs w:val="32"/>
                <w:lang w:eastAsia="zh-CN"/>
              </w:rPr>
            </w:pPr>
          </w:p>
        </w:tc>
        <w:tc>
          <w:tcPr>
            <w:shd w:val="clear" w:color="auto" w:fill="auto"/>
            <w:vAlign w:val="center"/>
          </w:tcPr>
          <w:p w14:paraId="12037681">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0C0233F5">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（1）造成设备或财产损失在2万元到10万元之间。</w:t>
            </w:r>
          </w:p>
        </w:tc>
        <w:tc>
          <w:tcPr>
            <w:vMerge w:val="continue"/>
            <w:shd w:val="clear" w:color="auto" w:fill="auto"/>
            <w:vAlign w:val="center"/>
          </w:tcPr>
          <w:p w14:paraId="5F93966A">
            <w:pPr>
              <w:rPr>
                <w:rFonts w:hint="eastAsia" w:ascii="仿宋" w:hAnsi="仿宋" w:eastAsia="仿宋" w:cs="仿宋"/>
                <w:sz w:val="32"/>
                <w:szCs w:val="32"/>
                <w:lang w:eastAsia="zh-CN"/>
              </w:rPr>
            </w:pPr>
          </w:p>
        </w:tc>
      </w:tr>
      <w:tr w14:paraId="7F26843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13E5310">
            <w:pPr>
              <w:rPr>
                <w:rFonts w:hint="eastAsia" w:ascii="仿宋" w:hAnsi="仿宋" w:eastAsia="仿宋" w:cs="仿宋"/>
                <w:sz w:val="32"/>
                <w:szCs w:val="32"/>
                <w:lang w:eastAsia="zh-CN"/>
              </w:rPr>
            </w:pPr>
          </w:p>
        </w:tc>
        <w:tc>
          <w:tcPr>
            <w:shd w:val="clear" w:color="auto" w:fill="auto"/>
            <w:vAlign w:val="center"/>
          </w:tcPr>
          <w:p w14:paraId="7F415C7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6A8905A0">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（1）造成设备二类障碍。</w:t>
            </w:r>
          </w:p>
        </w:tc>
        <w:tc>
          <w:tcPr>
            <w:vMerge w:val="continue"/>
            <w:shd w:val="clear" w:color="auto" w:fill="auto"/>
            <w:vAlign w:val="center"/>
          </w:tcPr>
          <w:p w14:paraId="374F6987">
            <w:pPr>
              <w:rPr>
                <w:rFonts w:hint="eastAsia" w:ascii="仿宋" w:hAnsi="仿宋" w:eastAsia="仿宋" w:cs="仿宋"/>
                <w:sz w:val="32"/>
                <w:szCs w:val="32"/>
                <w:lang w:eastAsia="zh-CN"/>
              </w:rPr>
            </w:pPr>
          </w:p>
        </w:tc>
      </w:tr>
      <w:tr w14:paraId="2B944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4D66B2E3">
            <w:pPr>
              <w:rPr>
                <w:rFonts w:hint="eastAsia" w:ascii="仿宋" w:hAnsi="仿宋" w:eastAsia="仿宋" w:cs="仿宋"/>
                <w:sz w:val="32"/>
                <w:szCs w:val="32"/>
                <w:lang w:eastAsia="zh-CN"/>
              </w:rPr>
            </w:pPr>
          </w:p>
        </w:tc>
        <w:tc>
          <w:tcPr>
            <w:shd w:val="clear" w:color="auto" w:fill="auto"/>
            <w:vAlign w:val="center"/>
          </w:tcPr>
          <w:p w14:paraId="7E021365">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4D0FEE96">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（1）轻度影响到周边居民及小范围（现场）生态环境。</w:t>
            </w:r>
          </w:p>
        </w:tc>
        <w:tc>
          <w:tcPr>
            <w:vMerge w:val="continue"/>
            <w:shd w:val="clear" w:color="auto" w:fill="auto"/>
            <w:vAlign w:val="center"/>
          </w:tcPr>
          <w:p w14:paraId="40402D92">
            <w:pPr>
              <w:rPr>
                <w:rFonts w:hint="eastAsia" w:ascii="仿宋" w:hAnsi="仿宋" w:eastAsia="仿宋" w:cs="仿宋"/>
                <w:sz w:val="32"/>
                <w:szCs w:val="32"/>
                <w:lang w:eastAsia="zh-CN"/>
              </w:rPr>
            </w:pPr>
          </w:p>
        </w:tc>
      </w:tr>
      <w:tr w14:paraId="33F0BB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D079F45">
            <w:pPr>
              <w:rPr>
                <w:rFonts w:hint="eastAsia" w:ascii="仿宋" w:hAnsi="仿宋" w:eastAsia="仿宋" w:cs="仿宋"/>
                <w:sz w:val="32"/>
                <w:szCs w:val="32"/>
                <w:lang w:eastAsia="zh-CN"/>
              </w:rPr>
            </w:pPr>
          </w:p>
        </w:tc>
        <w:tc>
          <w:tcPr>
            <w:shd w:val="clear" w:color="auto" w:fill="auto"/>
            <w:vAlign w:val="center"/>
          </w:tcPr>
          <w:p w14:paraId="265A03A5">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0117B486">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（1）造成1～2例与职业有关的疾病；</w:t>
            </w:r>
            <w:r>
              <w:rPr>
                <w:rFonts w:hint="eastAsia" w:ascii="仿宋" w:hAnsi="仿宋" w:eastAsia="仿宋" w:cs="仿宋"/>
                <w:sz w:val="32"/>
                <w:szCs w:val="32"/>
              </w:rPr>
              <w:br w:type="textWrapping"/>
            </w:r>
            <w:r>
              <w:rPr>
                <w:rFonts w:hint="eastAsia" w:ascii="仿宋" w:hAnsi="仿宋" w:eastAsia="仿宋" w:cs="仿宋"/>
                <w:sz w:val="32"/>
                <w:szCs w:val="32"/>
              </w:rPr>
              <w:t>（2）造成3～9例有影响健康的事件。</w:t>
            </w:r>
          </w:p>
        </w:tc>
        <w:tc>
          <w:tcPr>
            <w:vMerge w:val="continue"/>
            <w:shd w:val="clear" w:color="auto" w:fill="auto"/>
            <w:vAlign w:val="center"/>
          </w:tcPr>
          <w:p w14:paraId="4E6E01D4">
            <w:pPr>
              <w:rPr>
                <w:rFonts w:hint="eastAsia" w:ascii="仿宋" w:hAnsi="仿宋" w:eastAsia="仿宋" w:cs="仿宋"/>
                <w:sz w:val="32"/>
                <w:szCs w:val="32"/>
                <w:lang w:eastAsia="zh-CN"/>
              </w:rPr>
            </w:pPr>
          </w:p>
        </w:tc>
      </w:tr>
      <w:tr w14:paraId="7E07A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restart"/>
            <w:shd w:val="clear" w:color="auto" w:fill="auto"/>
            <w:vAlign w:val="center"/>
          </w:tcPr>
          <w:p w14:paraId="0499CE40">
            <w:pPr>
              <w:pStyle w:val="19"/>
              <w:jc w:val="center"/>
              <w:rPr>
                <w:rFonts w:hint="eastAsia" w:ascii="仿宋" w:hAnsi="仿宋" w:eastAsia="仿宋" w:cs="仿宋"/>
                <w:sz w:val="32"/>
                <w:szCs w:val="32"/>
              </w:rPr>
            </w:pPr>
            <w:r>
              <w:rPr>
                <w:rFonts w:hint="eastAsia" w:ascii="仿宋" w:hAnsi="仿宋" w:eastAsia="仿宋" w:cs="仿宋"/>
                <w:sz w:val="32"/>
                <w:szCs w:val="32"/>
              </w:rPr>
              <w:t>6</w:t>
            </w:r>
          </w:p>
        </w:tc>
        <w:tc>
          <w:tcPr>
            <w:shd w:val="clear" w:color="auto" w:fill="auto"/>
            <w:vAlign w:val="center"/>
          </w:tcPr>
          <w:p w14:paraId="584D3A8F">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人员伤亡</w:t>
            </w:r>
          </w:p>
        </w:tc>
        <w:tc>
          <w:tcPr>
            <w:shd w:val="clear" w:color="auto" w:fill="auto"/>
            <w:vAlign w:val="center"/>
          </w:tcPr>
          <w:p w14:paraId="32431D6C">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（1）可能造成人员轻微的伤害（小的割伤、擦伤、撞伤）。</w:t>
            </w:r>
          </w:p>
        </w:tc>
        <w:tc>
          <w:tcPr>
            <w:vMerge w:val="restart"/>
            <w:shd w:val="clear" w:color="auto" w:fill="auto"/>
            <w:vAlign w:val="center"/>
          </w:tcPr>
          <w:p w14:paraId="153707F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r>
      <w:tr w14:paraId="11112D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6A89CBCF">
            <w:pPr>
              <w:rPr>
                <w:rFonts w:hint="eastAsia" w:ascii="仿宋" w:hAnsi="仿宋" w:eastAsia="仿宋" w:cs="仿宋"/>
                <w:sz w:val="32"/>
                <w:szCs w:val="32"/>
                <w:lang w:eastAsia="zh-CN"/>
              </w:rPr>
            </w:pPr>
          </w:p>
        </w:tc>
        <w:tc>
          <w:tcPr>
            <w:shd w:val="clear" w:color="auto" w:fill="auto"/>
            <w:vAlign w:val="center"/>
          </w:tcPr>
          <w:p w14:paraId="43CBDDD2">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设备损坏</w:t>
            </w:r>
          </w:p>
        </w:tc>
        <w:tc>
          <w:tcPr>
            <w:shd w:val="clear" w:color="auto" w:fill="auto"/>
            <w:vAlign w:val="center"/>
          </w:tcPr>
          <w:p w14:paraId="1BBA8500">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（1）可能造成设备或财产损失在2万元以下。</w:t>
            </w:r>
          </w:p>
        </w:tc>
        <w:tc>
          <w:tcPr>
            <w:vMerge w:val="continue"/>
            <w:shd w:val="clear" w:color="auto" w:fill="auto"/>
            <w:vAlign w:val="center"/>
          </w:tcPr>
          <w:p w14:paraId="1DE01A8A">
            <w:pPr>
              <w:rPr>
                <w:rFonts w:hint="eastAsia" w:ascii="仿宋" w:hAnsi="仿宋" w:eastAsia="仿宋" w:cs="仿宋"/>
                <w:sz w:val="32"/>
                <w:szCs w:val="32"/>
                <w:lang w:eastAsia="zh-CN"/>
              </w:rPr>
            </w:pPr>
          </w:p>
        </w:tc>
      </w:tr>
      <w:tr w14:paraId="2089FC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79D40009">
            <w:pPr>
              <w:rPr>
                <w:rFonts w:hint="eastAsia" w:ascii="仿宋" w:hAnsi="仿宋" w:eastAsia="仿宋" w:cs="仿宋"/>
                <w:sz w:val="32"/>
                <w:szCs w:val="32"/>
                <w:lang w:eastAsia="zh-CN"/>
              </w:rPr>
            </w:pPr>
          </w:p>
        </w:tc>
        <w:tc>
          <w:tcPr>
            <w:shd w:val="clear" w:color="auto" w:fill="auto"/>
            <w:vAlign w:val="center"/>
          </w:tcPr>
          <w:p w14:paraId="7C3990E2">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生产中断</w:t>
            </w:r>
          </w:p>
        </w:tc>
        <w:tc>
          <w:tcPr>
            <w:shd w:val="clear" w:color="auto" w:fill="auto"/>
            <w:vAlign w:val="center"/>
          </w:tcPr>
          <w:p w14:paraId="489190A3">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（1）造成设备异常。</w:t>
            </w:r>
          </w:p>
        </w:tc>
        <w:tc>
          <w:tcPr>
            <w:vMerge w:val="continue"/>
            <w:shd w:val="clear" w:color="auto" w:fill="auto"/>
            <w:vAlign w:val="center"/>
          </w:tcPr>
          <w:p w14:paraId="558CD39B">
            <w:pPr>
              <w:rPr>
                <w:rFonts w:hint="eastAsia" w:ascii="仿宋" w:hAnsi="仿宋" w:eastAsia="仿宋" w:cs="仿宋"/>
                <w:sz w:val="32"/>
                <w:szCs w:val="32"/>
                <w:lang w:eastAsia="zh-CN"/>
              </w:rPr>
            </w:pPr>
          </w:p>
        </w:tc>
      </w:tr>
      <w:tr w14:paraId="5663F0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18BDFEBB">
            <w:pPr>
              <w:rPr>
                <w:rFonts w:hint="eastAsia" w:ascii="仿宋" w:hAnsi="仿宋" w:eastAsia="仿宋" w:cs="仿宋"/>
                <w:sz w:val="32"/>
                <w:szCs w:val="32"/>
                <w:lang w:eastAsia="zh-CN"/>
              </w:rPr>
            </w:pPr>
          </w:p>
        </w:tc>
        <w:tc>
          <w:tcPr>
            <w:shd w:val="clear" w:color="auto" w:fill="auto"/>
            <w:vAlign w:val="center"/>
          </w:tcPr>
          <w:p w14:paraId="34AED6BE">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环境污染</w:t>
            </w:r>
          </w:p>
        </w:tc>
        <w:tc>
          <w:tcPr>
            <w:shd w:val="clear" w:color="auto" w:fill="auto"/>
            <w:vAlign w:val="center"/>
          </w:tcPr>
          <w:p w14:paraId="3F1589E0">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（1）对现场景观有轻度影响。</w:t>
            </w:r>
          </w:p>
        </w:tc>
        <w:tc>
          <w:tcPr>
            <w:vMerge w:val="continue"/>
            <w:shd w:val="clear" w:color="auto" w:fill="auto"/>
            <w:vAlign w:val="center"/>
          </w:tcPr>
          <w:p w14:paraId="6339FF18">
            <w:pPr>
              <w:rPr>
                <w:rFonts w:hint="eastAsia" w:ascii="仿宋" w:hAnsi="仿宋" w:eastAsia="仿宋" w:cs="仿宋"/>
                <w:sz w:val="32"/>
                <w:szCs w:val="32"/>
                <w:lang w:eastAsia="zh-CN"/>
              </w:rPr>
            </w:pPr>
          </w:p>
        </w:tc>
      </w:tr>
      <w:tr w14:paraId="07FEDE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jc w:val="center"/>
        </w:trPr>
        <w:tc>
          <w:tcPr>
            <w:vMerge w:val="continue"/>
            <w:shd w:val="clear" w:color="auto" w:fill="auto"/>
            <w:vAlign w:val="center"/>
          </w:tcPr>
          <w:p w14:paraId="0771EAAD">
            <w:pPr>
              <w:rPr>
                <w:rFonts w:hint="eastAsia" w:ascii="仿宋" w:hAnsi="仿宋" w:eastAsia="仿宋" w:cs="仿宋"/>
                <w:sz w:val="32"/>
                <w:szCs w:val="32"/>
                <w:lang w:eastAsia="zh-CN"/>
              </w:rPr>
            </w:pPr>
          </w:p>
        </w:tc>
        <w:tc>
          <w:tcPr>
            <w:shd w:val="clear" w:color="auto" w:fill="auto"/>
            <w:vAlign w:val="center"/>
          </w:tcPr>
          <w:p w14:paraId="12847301">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职业健康损害</w:t>
            </w:r>
          </w:p>
        </w:tc>
        <w:tc>
          <w:tcPr>
            <w:shd w:val="clear" w:color="auto" w:fill="auto"/>
            <w:vAlign w:val="center"/>
          </w:tcPr>
          <w:p w14:paraId="3EFF9A7D">
            <w:pPr>
              <w:pStyle w:val="19"/>
              <w:ind w:left="0" w:leftChars="0" w:firstLine="0" w:firstLineChars="0"/>
              <w:rPr>
                <w:rFonts w:hint="eastAsia" w:ascii="仿宋" w:hAnsi="仿宋" w:eastAsia="仿宋" w:cs="仿宋"/>
                <w:sz w:val="32"/>
                <w:szCs w:val="32"/>
              </w:rPr>
            </w:pPr>
            <w:r>
              <w:rPr>
                <w:rFonts w:hint="eastAsia" w:ascii="仿宋" w:hAnsi="仿宋" w:eastAsia="仿宋" w:cs="仿宋"/>
                <w:sz w:val="32"/>
                <w:szCs w:val="32"/>
              </w:rPr>
              <w:t>（1）可能造成1～2例有健康影响的事件。</w:t>
            </w:r>
          </w:p>
        </w:tc>
        <w:tc>
          <w:tcPr>
            <w:vMerge w:val="continue"/>
            <w:shd w:val="clear" w:color="auto" w:fill="auto"/>
            <w:vAlign w:val="center"/>
          </w:tcPr>
          <w:p w14:paraId="7F61CEE2">
            <w:pPr>
              <w:rPr>
                <w:rFonts w:hint="eastAsia" w:ascii="仿宋" w:hAnsi="仿宋" w:eastAsia="仿宋" w:cs="仿宋"/>
                <w:sz w:val="32"/>
                <w:szCs w:val="32"/>
                <w:lang w:eastAsia="zh-CN"/>
              </w:rPr>
            </w:pPr>
          </w:p>
        </w:tc>
      </w:tr>
    </w:tbl>
    <w:p w14:paraId="2B51614D">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both"/>
        <w:textAlignment w:val="auto"/>
        <w:rPr>
          <w:rFonts w:hint="eastAsia" w:ascii="仿宋" w:hAnsi="仿宋" w:eastAsia="仿宋" w:cs="仿宋"/>
          <w:b/>
          <w:bCs/>
          <w:sz w:val="32"/>
          <w:szCs w:val="32"/>
        </w:rPr>
      </w:pPr>
    </w:p>
    <w:p w14:paraId="3672D600">
      <w:pPr>
        <w:pStyle w:val="5"/>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0" w:firstLineChars="0"/>
        <w:jc w:val="center"/>
        <w:textAlignment w:val="auto"/>
        <w:rPr>
          <w:rFonts w:hint="eastAsia" w:ascii="仿宋" w:hAnsi="仿宋" w:eastAsia="仿宋" w:cs="仿宋"/>
          <w:b/>
          <w:bCs/>
          <w:sz w:val="32"/>
          <w:szCs w:val="32"/>
        </w:rPr>
      </w:pPr>
      <w:r>
        <w:rPr>
          <w:rFonts w:hint="eastAsia" w:ascii="仿宋" w:hAnsi="仿宋" w:eastAsia="仿宋" w:cs="仿宋"/>
          <w:b/>
          <w:bCs/>
          <w:sz w:val="32"/>
          <w:szCs w:val="32"/>
        </w:rPr>
        <w:t>表4</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风险等级（D=L×E×C）标准</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8" w:type="dxa"/>
          <w:left w:w="108" w:type="dxa"/>
          <w:bottom w:w="28" w:type="dxa"/>
          <w:right w:w="108" w:type="dxa"/>
        </w:tblCellMar>
      </w:tblPr>
      <w:tblGrid>
        <w:gridCol w:w="2037"/>
        <w:gridCol w:w="2177"/>
        <w:gridCol w:w="4099"/>
      </w:tblGrid>
      <w:tr w14:paraId="30E2F3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37" w:type="dxa"/>
            <w:shd w:val="clear" w:color="auto" w:fill="auto"/>
            <w:vAlign w:val="center"/>
          </w:tcPr>
          <w:p w14:paraId="641FA2FC">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序号</w:t>
            </w:r>
          </w:p>
        </w:tc>
        <w:tc>
          <w:tcPr>
            <w:tcW w:w="2177" w:type="dxa"/>
            <w:shd w:val="clear" w:color="auto" w:fill="auto"/>
            <w:vAlign w:val="center"/>
          </w:tcPr>
          <w:p w14:paraId="045DEEAA">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风险等级</w:t>
            </w:r>
          </w:p>
        </w:tc>
        <w:tc>
          <w:tcPr>
            <w:tcW w:w="4099" w:type="dxa"/>
            <w:shd w:val="clear" w:color="auto" w:fill="auto"/>
            <w:vAlign w:val="center"/>
          </w:tcPr>
          <w:p w14:paraId="2138C4C9">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b/>
                <w:bCs/>
                <w:sz w:val="32"/>
                <w:szCs w:val="32"/>
              </w:rPr>
              <w:t>判定条件</w:t>
            </w:r>
          </w:p>
        </w:tc>
      </w:tr>
      <w:tr w14:paraId="3E316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37" w:type="dxa"/>
            <w:shd w:val="clear" w:color="auto" w:fill="auto"/>
            <w:vAlign w:val="center"/>
          </w:tcPr>
          <w:p w14:paraId="18B1AD8D">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1</w:t>
            </w:r>
          </w:p>
        </w:tc>
        <w:tc>
          <w:tcPr>
            <w:tcW w:w="2177" w:type="dxa"/>
            <w:shd w:val="clear" w:color="auto" w:fill="auto"/>
            <w:vAlign w:val="center"/>
          </w:tcPr>
          <w:p w14:paraId="6E0F9E7E">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重大风险</w:t>
            </w:r>
          </w:p>
        </w:tc>
        <w:tc>
          <w:tcPr>
            <w:tcW w:w="4099" w:type="dxa"/>
            <w:shd w:val="clear" w:color="auto" w:fill="auto"/>
            <w:vAlign w:val="center"/>
          </w:tcPr>
          <w:p w14:paraId="6BB11817">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D≥400</w:t>
            </w:r>
          </w:p>
        </w:tc>
      </w:tr>
      <w:tr w14:paraId="19045E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37" w:type="dxa"/>
            <w:shd w:val="clear" w:color="auto" w:fill="auto"/>
            <w:vAlign w:val="center"/>
          </w:tcPr>
          <w:p w14:paraId="052A3B32">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w:t>
            </w:r>
          </w:p>
        </w:tc>
        <w:tc>
          <w:tcPr>
            <w:tcW w:w="2177" w:type="dxa"/>
            <w:shd w:val="clear" w:color="auto" w:fill="auto"/>
            <w:vAlign w:val="center"/>
          </w:tcPr>
          <w:p w14:paraId="21BBF99B">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较大风险</w:t>
            </w:r>
          </w:p>
        </w:tc>
        <w:tc>
          <w:tcPr>
            <w:tcW w:w="4099" w:type="dxa"/>
            <w:shd w:val="clear" w:color="auto" w:fill="auto"/>
            <w:vAlign w:val="center"/>
          </w:tcPr>
          <w:p w14:paraId="51F72F39">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200≤D＜400</w:t>
            </w:r>
          </w:p>
        </w:tc>
      </w:tr>
      <w:tr w14:paraId="08218F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57" w:hRule="atLeast"/>
          <w:jc w:val="center"/>
        </w:trPr>
        <w:tc>
          <w:tcPr>
            <w:tcW w:w="2037" w:type="dxa"/>
            <w:shd w:val="clear" w:color="auto" w:fill="auto"/>
            <w:vAlign w:val="center"/>
          </w:tcPr>
          <w:p w14:paraId="233F1529">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3</w:t>
            </w:r>
          </w:p>
        </w:tc>
        <w:tc>
          <w:tcPr>
            <w:tcW w:w="2177" w:type="dxa"/>
            <w:shd w:val="clear" w:color="auto" w:fill="auto"/>
            <w:vAlign w:val="center"/>
          </w:tcPr>
          <w:p w14:paraId="0DAD955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一般风险</w:t>
            </w:r>
          </w:p>
        </w:tc>
        <w:tc>
          <w:tcPr>
            <w:tcW w:w="4099" w:type="dxa"/>
            <w:shd w:val="clear" w:color="auto" w:fill="auto"/>
            <w:vAlign w:val="center"/>
          </w:tcPr>
          <w:p w14:paraId="17B32418">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70≤D＜200</w:t>
            </w:r>
          </w:p>
        </w:tc>
      </w:tr>
      <w:tr w14:paraId="3B8AB5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Ex>
        <w:trPr>
          <w:trHeight w:val="888" w:hRule="atLeast"/>
          <w:jc w:val="center"/>
        </w:trPr>
        <w:tc>
          <w:tcPr>
            <w:tcW w:w="2037" w:type="dxa"/>
            <w:shd w:val="clear" w:color="auto" w:fill="auto"/>
            <w:vAlign w:val="center"/>
          </w:tcPr>
          <w:p w14:paraId="2B9DE665">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4</w:t>
            </w:r>
          </w:p>
        </w:tc>
        <w:tc>
          <w:tcPr>
            <w:tcW w:w="2177" w:type="dxa"/>
            <w:shd w:val="clear" w:color="auto" w:fill="auto"/>
            <w:vAlign w:val="center"/>
          </w:tcPr>
          <w:p w14:paraId="2660B3A9">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低风险</w:t>
            </w:r>
          </w:p>
        </w:tc>
        <w:tc>
          <w:tcPr>
            <w:tcW w:w="4099" w:type="dxa"/>
            <w:shd w:val="clear" w:color="auto" w:fill="auto"/>
            <w:vAlign w:val="center"/>
          </w:tcPr>
          <w:p w14:paraId="736C3611">
            <w:pPr>
              <w:pStyle w:val="19"/>
              <w:ind w:left="0" w:leftChars="0" w:firstLine="0" w:firstLineChars="0"/>
              <w:jc w:val="center"/>
              <w:rPr>
                <w:rFonts w:hint="eastAsia" w:ascii="仿宋" w:hAnsi="仿宋" w:eastAsia="仿宋" w:cs="仿宋"/>
                <w:sz w:val="32"/>
                <w:szCs w:val="32"/>
              </w:rPr>
            </w:pPr>
            <w:r>
              <w:rPr>
                <w:rFonts w:hint="eastAsia" w:ascii="仿宋" w:hAnsi="仿宋" w:eastAsia="仿宋" w:cs="仿宋"/>
                <w:sz w:val="32"/>
                <w:szCs w:val="32"/>
              </w:rPr>
              <w:t>D＜70</w:t>
            </w:r>
          </w:p>
        </w:tc>
      </w:tr>
    </w:tbl>
    <w:p w14:paraId="4A3CC5B0"/>
    <w:p w14:paraId="2D4F2974">
      <w:pPr>
        <w:pStyle w:val="5"/>
        <w:rPr>
          <w:rFonts w:hint="eastAsia"/>
          <w:lang w:val="en-US" w:eastAsia="zh-CN"/>
        </w:rPr>
      </w:pPr>
    </w:p>
    <w:sectPr>
      <w:footerReference r:id="rId6" w:type="default"/>
      <w:pgSz w:w="11906" w:h="16838"/>
      <w:pgMar w:top="1440" w:right="1800" w:bottom="1440" w:left="1800" w:header="720" w:footer="720" w:gutter="0"/>
      <w:pgNumType w:fmt="decimal"/>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908B10-F130-4148-9016-545A74E13C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5FEC1822-76EE-4486-9B10-D737533CF682}"/>
  </w:font>
  <w:font w:name="方正小标宋简体">
    <w:panose1 w:val="02010600010101010101"/>
    <w:charset w:val="86"/>
    <w:family w:val="auto"/>
    <w:pitch w:val="default"/>
    <w:sig w:usb0="00000001" w:usb1="080E0000" w:usb2="00000000" w:usb3="00000000" w:csb0="00040000" w:csb1="00000000"/>
    <w:embedRegular r:id="rId3" w:fontKey="{91460EFE-F8A8-4AC8-8798-FF64EB749CE1}"/>
  </w:font>
  <w:font w:name="楷体">
    <w:panose1 w:val="02010609060101010101"/>
    <w:charset w:val="86"/>
    <w:family w:val="auto"/>
    <w:pitch w:val="default"/>
    <w:sig w:usb0="800002BF" w:usb1="38CF7CFA" w:usb2="00000016" w:usb3="00000000" w:csb0="00040001" w:csb1="00000000"/>
    <w:embedRegular r:id="rId4" w:fontKey="{715C3341-4752-4E23-B6A9-9AF325416E5A}"/>
  </w:font>
  <w:font w:name="楷体_GB2312">
    <w:altName w:val="楷体"/>
    <w:panose1 w:val="02010609030101010101"/>
    <w:charset w:val="86"/>
    <w:family w:val="auto"/>
    <w:pitch w:val="default"/>
    <w:sig w:usb0="00000000" w:usb1="00000000" w:usb2="00000000" w:usb3="00000000" w:csb0="00040000" w:csb1="00000000"/>
    <w:embedRegular r:id="rId5" w:fontKey="{5B0577DE-8FFA-483C-B7C5-2FFDC0033DDE}"/>
  </w:font>
  <w:font w:name="仿宋_GB2312">
    <w:panose1 w:val="02010609030101010101"/>
    <w:charset w:val="86"/>
    <w:family w:val="auto"/>
    <w:pitch w:val="default"/>
    <w:sig w:usb0="00000001" w:usb1="080E0000" w:usb2="00000000" w:usb3="00000000" w:csb0="00040000" w:csb1="00000000"/>
    <w:embedRegular r:id="rId6" w:fontKey="{FE0546C9-8EB9-4373-91A6-1326C6CB59C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23F52">
    <w:pPr>
      <w:pStyle w:val="5"/>
      <w:spacing w:line="14" w:lineRule="auto"/>
      <w:ind w:left="0" w:firstLine="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C33FD">
    <w:pPr>
      <w:pStyle w:val="5"/>
      <w:spacing w:line="14" w:lineRule="auto"/>
      <w:ind w:left="0" w:firstLine="0"/>
      <w:rPr>
        <w:rFonts w:hint="eastAsia"/>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6AC2D">
    <w:pPr>
      <w:pStyle w:val="5"/>
      <w:spacing w:line="14" w:lineRule="auto"/>
      <w:ind w:left="0" w:firstLine="0"/>
      <w:rPr>
        <w:rFonts w:hint="eastAsia"/>
        <w:sz w:val="20"/>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20955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870" cy="209550"/>
                      </a:xfrm>
                      <a:prstGeom prst="rect">
                        <a:avLst/>
                      </a:prstGeom>
                      <a:noFill/>
                      <a:ln>
                        <a:noFill/>
                      </a:ln>
                    </wps:spPr>
                    <wps:txbx>
                      <w:txbxContent>
                        <w:p w14:paraId="67F6E87D">
                          <w:pPr>
                            <w:spacing w:before="12"/>
                            <w:ind w:left="20"/>
                            <w:jc w:val="both"/>
                            <w:rPr>
                              <w:rFonts w:hint="eastAsia" w:asciiTheme="majorEastAsia" w:hAnsiTheme="majorEastAsia" w:eastAsiaTheme="majorEastAsia" w:cstheme="majorEastAsia"/>
                              <w:sz w:val="28"/>
                              <w:szCs w:val="40"/>
                            </w:rPr>
                          </w:pPr>
                          <w:r>
                            <w:rPr>
                              <w:rFonts w:hint="eastAsia" w:asciiTheme="majorEastAsia" w:hAnsiTheme="majorEastAsia" w:eastAsiaTheme="majorEastAsia" w:cstheme="majorEastAsia"/>
                              <w:sz w:val="28"/>
                              <w:szCs w:val="40"/>
                            </w:rPr>
                            <w:t xml:space="preserve">— </w:t>
                          </w:r>
                          <w:r>
                            <w:rPr>
                              <w:rFonts w:hint="eastAsia" w:asciiTheme="majorEastAsia" w:hAnsiTheme="majorEastAsia" w:eastAsiaTheme="majorEastAsia" w:cstheme="majorEastAsia"/>
                              <w:sz w:val="28"/>
                              <w:szCs w:val="40"/>
                            </w:rPr>
                            <w:fldChar w:fldCharType="begin"/>
                          </w:r>
                          <w:r>
                            <w:rPr>
                              <w:rFonts w:hint="eastAsia" w:asciiTheme="majorEastAsia" w:hAnsiTheme="majorEastAsia" w:eastAsiaTheme="majorEastAsia" w:cstheme="majorEastAsia"/>
                              <w:sz w:val="28"/>
                              <w:szCs w:val="40"/>
                            </w:rPr>
                            <w:instrText xml:space="preserve"> PAGE  \* MERGEFORMAT </w:instrText>
                          </w:r>
                          <w:r>
                            <w:rPr>
                              <w:rFonts w:hint="eastAsia" w:asciiTheme="majorEastAsia" w:hAnsiTheme="majorEastAsia" w:eastAsiaTheme="majorEastAsia" w:cstheme="majorEastAsia"/>
                              <w:sz w:val="28"/>
                              <w:szCs w:val="40"/>
                            </w:rPr>
                            <w:fldChar w:fldCharType="separate"/>
                          </w:r>
                          <w:r>
                            <w:rPr>
                              <w:rFonts w:hint="eastAsia" w:asciiTheme="majorEastAsia" w:hAnsiTheme="majorEastAsia" w:eastAsiaTheme="majorEastAsia" w:cstheme="majorEastAsia"/>
                              <w:sz w:val="28"/>
                              <w:szCs w:val="40"/>
                            </w:rPr>
                            <w:t>1</w:t>
                          </w:r>
                          <w:r>
                            <w:rPr>
                              <w:rFonts w:hint="eastAsia" w:asciiTheme="majorEastAsia" w:hAnsiTheme="majorEastAsia" w:eastAsiaTheme="majorEastAsia" w:cstheme="majorEastAsia"/>
                              <w:sz w:val="28"/>
                              <w:szCs w:val="40"/>
                            </w:rPr>
                            <w:fldChar w:fldCharType="end"/>
                          </w:r>
                          <w:r>
                            <w:rPr>
                              <w:rFonts w:hint="eastAsia" w:asciiTheme="majorEastAsia" w:hAnsiTheme="majorEastAsia" w:eastAsiaTheme="majorEastAsia" w:cstheme="majorEastAsia"/>
                              <w:sz w:val="28"/>
                              <w:szCs w:val="40"/>
                            </w:rPr>
                            <w:t xml:space="preserve"> —</w:t>
                          </w:r>
                        </w:p>
                      </w:txbxContent>
                    </wps:txbx>
                    <wps:bodyPr lIns="0" tIns="0" rIns="0" bIns="0" upright="1"/>
                  </wps:wsp>
                </a:graphicData>
              </a:graphic>
            </wp:anchor>
          </w:drawing>
        </mc:Choice>
        <mc:Fallback>
          <w:pict>
            <v:shape id="_x0000_s1026" o:spid="_x0000_s1026" o:spt="202" type="#_x0000_t202" style="position:absolute;left:0pt;margin-top:0pt;height:16.5pt;width:58.1pt;mso-position-horizontal:outside;mso-position-horizontal-relative:margin;z-index:251659264;mso-width-relative:page;mso-height-relative:page;" filled="f" stroked="f" coordsize="21600,21600" o:gfxdata="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OQmYjnUAAAABAEAAA8AAAAAAAAAAQAgAAAAIgAAAGRycy9kb3ducmV2LnhtbFBLAQIUABQA&#10;AAAIAIdO4kCxrnLVuwEAAHEDAAAOAAAAAAAAAAEAIAAAACMBAABkcnMvZTJvRG9jLnhtbFBLBQYA&#10;AAAABgAGAFkBAABQBQAAAAA=&#10;">
              <v:fill on="f" focussize="0,0"/>
              <v:stroke on="f"/>
              <v:imagedata o:title=""/>
              <o:lock v:ext="edit" aspectratio="f"/>
              <v:textbox inset="0mm,0mm,0mm,0mm">
                <w:txbxContent>
                  <w:p w14:paraId="67F6E87D">
                    <w:pPr>
                      <w:spacing w:before="12"/>
                      <w:ind w:left="20"/>
                      <w:jc w:val="both"/>
                      <w:rPr>
                        <w:rFonts w:hint="eastAsia" w:asciiTheme="majorEastAsia" w:hAnsiTheme="majorEastAsia" w:eastAsiaTheme="majorEastAsia" w:cstheme="majorEastAsia"/>
                        <w:sz w:val="28"/>
                        <w:szCs w:val="40"/>
                      </w:rPr>
                    </w:pPr>
                    <w:r>
                      <w:rPr>
                        <w:rFonts w:hint="eastAsia" w:asciiTheme="majorEastAsia" w:hAnsiTheme="majorEastAsia" w:eastAsiaTheme="majorEastAsia" w:cstheme="majorEastAsia"/>
                        <w:sz w:val="28"/>
                        <w:szCs w:val="40"/>
                      </w:rPr>
                      <w:t xml:space="preserve">— </w:t>
                    </w:r>
                    <w:r>
                      <w:rPr>
                        <w:rFonts w:hint="eastAsia" w:asciiTheme="majorEastAsia" w:hAnsiTheme="majorEastAsia" w:eastAsiaTheme="majorEastAsia" w:cstheme="majorEastAsia"/>
                        <w:sz w:val="28"/>
                        <w:szCs w:val="40"/>
                      </w:rPr>
                      <w:fldChar w:fldCharType="begin"/>
                    </w:r>
                    <w:r>
                      <w:rPr>
                        <w:rFonts w:hint="eastAsia" w:asciiTheme="majorEastAsia" w:hAnsiTheme="majorEastAsia" w:eastAsiaTheme="majorEastAsia" w:cstheme="majorEastAsia"/>
                        <w:sz w:val="28"/>
                        <w:szCs w:val="40"/>
                      </w:rPr>
                      <w:instrText xml:space="preserve"> PAGE  \* MERGEFORMAT </w:instrText>
                    </w:r>
                    <w:r>
                      <w:rPr>
                        <w:rFonts w:hint="eastAsia" w:asciiTheme="majorEastAsia" w:hAnsiTheme="majorEastAsia" w:eastAsiaTheme="majorEastAsia" w:cstheme="majorEastAsia"/>
                        <w:sz w:val="28"/>
                        <w:szCs w:val="40"/>
                      </w:rPr>
                      <w:fldChar w:fldCharType="separate"/>
                    </w:r>
                    <w:r>
                      <w:rPr>
                        <w:rFonts w:hint="eastAsia" w:asciiTheme="majorEastAsia" w:hAnsiTheme="majorEastAsia" w:eastAsiaTheme="majorEastAsia" w:cstheme="majorEastAsia"/>
                        <w:sz w:val="28"/>
                        <w:szCs w:val="40"/>
                      </w:rPr>
                      <w:t>1</w:t>
                    </w:r>
                    <w:r>
                      <w:rPr>
                        <w:rFonts w:hint="eastAsia" w:asciiTheme="majorEastAsia" w:hAnsiTheme="majorEastAsia" w:eastAsiaTheme="majorEastAsia" w:cstheme="majorEastAsia"/>
                        <w:sz w:val="28"/>
                        <w:szCs w:val="40"/>
                      </w:rPr>
                      <w:fldChar w:fldCharType="end"/>
                    </w:r>
                    <w:r>
                      <w:rPr>
                        <w:rFonts w:hint="eastAsia" w:asciiTheme="majorEastAsia" w:hAnsiTheme="majorEastAsia" w:eastAsiaTheme="majorEastAsia" w:cstheme="majorEastAsia"/>
                        <w:sz w:val="28"/>
                        <w:szCs w:val="4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A371B">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B4716">
                          <w:pPr>
                            <w:pStyle w:val="7"/>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B4716">
                    <w:pPr>
                      <w:pStyle w:val="7"/>
                    </w:pPr>
                    <w:r>
                      <w:t>—</w:t>
                    </w:r>
                    <w:r>
                      <w:rPr>
                        <w:rFonts w:hint="eastAsia" w:ascii="仿宋" w:hAnsi="仿宋" w:eastAsia="仿宋" w:cs="仿宋"/>
                        <w:sz w:val="32"/>
                        <w:szCs w:val="32"/>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34</w:t>
                    </w:r>
                    <w:r>
                      <w:rPr>
                        <w:rFonts w:hint="eastAsia" w:ascii="仿宋" w:hAnsi="仿宋" w:eastAsia="仿宋" w:cs="仿宋"/>
                        <w:sz w:val="32"/>
                        <w:szCs w:val="32"/>
                      </w:rPr>
                      <w:fldChar w:fldCharType="end"/>
                    </w:r>
                    <w:r>
                      <w:rPr>
                        <w:rFonts w:hint="eastAsia" w:ascii="仿宋" w:hAnsi="仿宋" w:eastAsia="仿宋" w:cs="仿宋"/>
                        <w:sz w:val="32"/>
                        <w:szCs w:val="32"/>
                      </w:rPr>
                      <w:t xml:space="preserve"> </w:t>
                    </w:r>
                    <w:r>
                      <w:t>—</w:t>
                    </w:r>
                  </w:p>
                </w:txbxContent>
              </v:textbox>
            </v:shape>
          </w:pict>
        </mc:Fallback>
      </mc:AlternateContent>
    </w:r>
  </w:p>
  <w:p w14:paraId="7290EB4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A3AE5"/>
    <w:multiLevelType w:val="singleLevel"/>
    <w:tmpl w:val="BB6A3AE5"/>
    <w:lvl w:ilvl="0" w:tentative="0">
      <w:start w:val="8"/>
      <w:numFmt w:val="chineseCounting"/>
      <w:suff w:val="nothing"/>
      <w:lvlText w:val="（%1）"/>
      <w:lvlJc w:val="left"/>
      <w:rPr>
        <w:rFonts w:hint="eastAsia"/>
      </w:rPr>
    </w:lvl>
  </w:abstractNum>
  <w:abstractNum w:abstractNumId="1">
    <w:nsid w:val="E949855D"/>
    <w:multiLevelType w:val="multilevel"/>
    <w:tmpl w:val="E949855D"/>
    <w:lvl w:ilvl="0" w:tentative="0">
      <w:start w:val="1"/>
      <w:numFmt w:val="decimal"/>
      <w:suff w:val="nothing"/>
      <w:lvlText w:val="（%1）"/>
      <w:lvlJc w:val="left"/>
      <w:pPr>
        <w:ind w:left="1326" w:hanging="683"/>
        <w:jc w:val="left"/>
      </w:pPr>
      <w:rPr>
        <w:rFonts w:hint="default" w:ascii="仿宋" w:hAnsi="仿宋" w:eastAsia="仿宋" w:cs="仿宋"/>
        <w:spacing w:val="-13"/>
        <w:w w:val="100"/>
        <w:sz w:val="32"/>
        <w:szCs w:val="32"/>
        <w:lang w:val="zh-CN" w:eastAsia="zh-CN" w:bidi="zh-CN"/>
      </w:rPr>
    </w:lvl>
    <w:lvl w:ilvl="1" w:tentative="0">
      <w:start w:val="0"/>
      <w:numFmt w:val="bullet"/>
      <w:lvlText w:val="•"/>
      <w:lvlJc w:val="left"/>
      <w:pPr>
        <w:ind w:left="2096" w:hanging="683"/>
      </w:pPr>
      <w:rPr>
        <w:rFonts w:hint="default"/>
        <w:lang w:val="zh-CN" w:eastAsia="zh-CN" w:bidi="zh-CN"/>
      </w:rPr>
    </w:lvl>
    <w:lvl w:ilvl="2" w:tentative="0">
      <w:start w:val="0"/>
      <w:numFmt w:val="bullet"/>
      <w:lvlText w:val="•"/>
      <w:lvlJc w:val="left"/>
      <w:pPr>
        <w:ind w:left="2873" w:hanging="683"/>
      </w:pPr>
      <w:rPr>
        <w:rFonts w:hint="default"/>
        <w:lang w:val="zh-CN" w:eastAsia="zh-CN" w:bidi="zh-CN"/>
      </w:rPr>
    </w:lvl>
    <w:lvl w:ilvl="3" w:tentative="0">
      <w:start w:val="0"/>
      <w:numFmt w:val="bullet"/>
      <w:lvlText w:val="•"/>
      <w:lvlJc w:val="left"/>
      <w:pPr>
        <w:ind w:left="3649" w:hanging="683"/>
      </w:pPr>
      <w:rPr>
        <w:rFonts w:hint="default"/>
        <w:lang w:val="zh-CN" w:eastAsia="zh-CN" w:bidi="zh-CN"/>
      </w:rPr>
    </w:lvl>
    <w:lvl w:ilvl="4" w:tentative="0">
      <w:start w:val="0"/>
      <w:numFmt w:val="bullet"/>
      <w:lvlText w:val="•"/>
      <w:lvlJc w:val="left"/>
      <w:pPr>
        <w:ind w:left="4426" w:hanging="683"/>
      </w:pPr>
      <w:rPr>
        <w:rFonts w:hint="default"/>
        <w:lang w:val="zh-CN" w:eastAsia="zh-CN" w:bidi="zh-CN"/>
      </w:rPr>
    </w:lvl>
    <w:lvl w:ilvl="5" w:tentative="0">
      <w:start w:val="0"/>
      <w:numFmt w:val="bullet"/>
      <w:lvlText w:val="•"/>
      <w:lvlJc w:val="left"/>
      <w:pPr>
        <w:ind w:left="5203" w:hanging="683"/>
      </w:pPr>
      <w:rPr>
        <w:rFonts w:hint="default"/>
        <w:lang w:val="zh-CN" w:eastAsia="zh-CN" w:bidi="zh-CN"/>
      </w:rPr>
    </w:lvl>
    <w:lvl w:ilvl="6" w:tentative="0">
      <w:start w:val="0"/>
      <w:numFmt w:val="bullet"/>
      <w:lvlText w:val="•"/>
      <w:lvlJc w:val="left"/>
      <w:pPr>
        <w:ind w:left="5979" w:hanging="683"/>
      </w:pPr>
      <w:rPr>
        <w:rFonts w:hint="default"/>
        <w:lang w:val="zh-CN" w:eastAsia="zh-CN" w:bidi="zh-CN"/>
      </w:rPr>
    </w:lvl>
    <w:lvl w:ilvl="7" w:tentative="0">
      <w:start w:val="0"/>
      <w:numFmt w:val="bullet"/>
      <w:lvlText w:val="•"/>
      <w:lvlJc w:val="left"/>
      <w:pPr>
        <w:ind w:left="6756" w:hanging="683"/>
      </w:pPr>
      <w:rPr>
        <w:rFonts w:hint="default"/>
        <w:lang w:val="zh-CN" w:eastAsia="zh-CN" w:bidi="zh-CN"/>
      </w:rPr>
    </w:lvl>
    <w:lvl w:ilvl="8" w:tentative="0">
      <w:start w:val="0"/>
      <w:numFmt w:val="bullet"/>
      <w:lvlText w:val="•"/>
      <w:lvlJc w:val="left"/>
      <w:pPr>
        <w:ind w:left="7532" w:hanging="683"/>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35"/>
    <w:rsid w:val="001A0939"/>
    <w:rsid w:val="00280856"/>
    <w:rsid w:val="002E4529"/>
    <w:rsid w:val="002F6F80"/>
    <w:rsid w:val="0032368C"/>
    <w:rsid w:val="00330B10"/>
    <w:rsid w:val="00372C8D"/>
    <w:rsid w:val="00392F9E"/>
    <w:rsid w:val="003B6951"/>
    <w:rsid w:val="00446EE8"/>
    <w:rsid w:val="004A21C2"/>
    <w:rsid w:val="004D4A2E"/>
    <w:rsid w:val="00501DA3"/>
    <w:rsid w:val="00565B07"/>
    <w:rsid w:val="00604DA9"/>
    <w:rsid w:val="007440E5"/>
    <w:rsid w:val="007A7C1A"/>
    <w:rsid w:val="007D4EEF"/>
    <w:rsid w:val="00842E8D"/>
    <w:rsid w:val="00873A05"/>
    <w:rsid w:val="00892F40"/>
    <w:rsid w:val="00970360"/>
    <w:rsid w:val="00A5683A"/>
    <w:rsid w:val="00A764F7"/>
    <w:rsid w:val="00A76623"/>
    <w:rsid w:val="00B26D26"/>
    <w:rsid w:val="00B377B0"/>
    <w:rsid w:val="00BD3C38"/>
    <w:rsid w:val="00C511DE"/>
    <w:rsid w:val="00DA14B1"/>
    <w:rsid w:val="00E73335"/>
    <w:rsid w:val="00F524F4"/>
    <w:rsid w:val="00F95582"/>
    <w:rsid w:val="05A4205D"/>
    <w:rsid w:val="066B14C1"/>
    <w:rsid w:val="068E0F51"/>
    <w:rsid w:val="071A149F"/>
    <w:rsid w:val="0744532F"/>
    <w:rsid w:val="08302EF4"/>
    <w:rsid w:val="08884A47"/>
    <w:rsid w:val="09C15C02"/>
    <w:rsid w:val="0D20096E"/>
    <w:rsid w:val="0D4F265C"/>
    <w:rsid w:val="0FD40952"/>
    <w:rsid w:val="108856CC"/>
    <w:rsid w:val="108B0EA6"/>
    <w:rsid w:val="131C7742"/>
    <w:rsid w:val="14401234"/>
    <w:rsid w:val="148D32B1"/>
    <w:rsid w:val="14B91E50"/>
    <w:rsid w:val="160D3B0A"/>
    <w:rsid w:val="16A253D2"/>
    <w:rsid w:val="185261BC"/>
    <w:rsid w:val="18BA4D45"/>
    <w:rsid w:val="1A367F46"/>
    <w:rsid w:val="1A8707A2"/>
    <w:rsid w:val="1AF565A0"/>
    <w:rsid w:val="1CB00FD9"/>
    <w:rsid w:val="20A200E4"/>
    <w:rsid w:val="22966B03"/>
    <w:rsid w:val="24773635"/>
    <w:rsid w:val="24857B00"/>
    <w:rsid w:val="24CF2CA3"/>
    <w:rsid w:val="29DB6414"/>
    <w:rsid w:val="2B0C0F2E"/>
    <w:rsid w:val="2B457D9F"/>
    <w:rsid w:val="2BF40C4B"/>
    <w:rsid w:val="2D813B98"/>
    <w:rsid w:val="2E5C3F5B"/>
    <w:rsid w:val="2EDE53EA"/>
    <w:rsid w:val="2FB87B52"/>
    <w:rsid w:val="30CE0A81"/>
    <w:rsid w:val="318B1D15"/>
    <w:rsid w:val="321C4907"/>
    <w:rsid w:val="3243072B"/>
    <w:rsid w:val="340D2764"/>
    <w:rsid w:val="35C12962"/>
    <w:rsid w:val="36054EA3"/>
    <w:rsid w:val="36B83D65"/>
    <w:rsid w:val="37963452"/>
    <w:rsid w:val="37DE137B"/>
    <w:rsid w:val="38897ECE"/>
    <w:rsid w:val="39663F4D"/>
    <w:rsid w:val="3ADC3551"/>
    <w:rsid w:val="3B156886"/>
    <w:rsid w:val="40102987"/>
    <w:rsid w:val="40582115"/>
    <w:rsid w:val="45335AE3"/>
    <w:rsid w:val="49F50747"/>
    <w:rsid w:val="4B98430C"/>
    <w:rsid w:val="4BDF3777"/>
    <w:rsid w:val="4C840BCC"/>
    <w:rsid w:val="509B1512"/>
    <w:rsid w:val="50A95727"/>
    <w:rsid w:val="5145197B"/>
    <w:rsid w:val="514E60CB"/>
    <w:rsid w:val="51E92B71"/>
    <w:rsid w:val="530E527A"/>
    <w:rsid w:val="533E4E87"/>
    <w:rsid w:val="560E2D54"/>
    <w:rsid w:val="570235A6"/>
    <w:rsid w:val="58E01FBF"/>
    <w:rsid w:val="59587923"/>
    <w:rsid w:val="5AD011C9"/>
    <w:rsid w:val="5EC61767"/>
    <w:rsid w:val="604638E0"/>
    <w:rsid w:val="606D1789"/>
    <w:rsid w:val="61EE139A"/>
    <w:rsid w:val="632444CB"/>
    <w:rsid w:val="65E74C3F"/>
    <w:rsid w:val="662650A4"/>
    <w:rsid w:val="6A8E1AC4"/>
    <w:rsid w:val="6C3E4CF0"/>
    <w:rsid w:val="6C44786E"/>
    <w:rsid w:val="6DA1296C"/>
    <w:rsid w:val="71034277"/>
    <w:rsid w:val="71412EFE"/>
    <w:rsid w:val="72B17F3E"/>
    <w:rsid w:val="74536AB3"/>
    <w:rsid w:val="78440091"/>
    <w:rsid w:val="78F86174"/>
    <w:rsid w:val="7A2B7B14"/>
    <w:rsid w:val="7B2E3FD6"/>
    <w:rsid w:val="7BAD2677"/>
    <w:rsid w:val="7BE705F7"/>
    <w:rsid w:val="7EE10F4C"/>
    <w:rsid w:val="7FFD3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left="747"/>
      <w:outlineLvl w:val="0"/>
    </w:pPr>
    <w:rPr>
      <w:b/>
      <w:bCs/>
      <w:sz w:val="32"/>
      <w:szCs w:val="32"/>
    </w:rPr>
  </w:style>
  <w:style w:type="paragraph" w:styleId="3">
    <w:name w:val="heading 2"/>
    <w:basedOn w:val="1"/>
    <w:next w:val="1"/>
    <w:qFormat/>
    <w:uiPriority w:val="1"/>
    <w:pPr>
      <w:spacing w:before="128"/>
      <w:ind w:left="668"/>
      <w:outlineLvl w:val="1"/>
    </w:pPr>
    <w:rPr>
      <w:b/>
      <w:bCs/>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pPr>
      <w:ind w:left="108" w:firstLine="535"/>
    </w:pPr>
    <w:rPr>
      <w:sz w:val="28"/>
      <w:szCs w:val="28"/>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3">
    <w:name w:val="Strong"/>
    <w:basedOn w:val="12"/>
    <w:qFormat/>
    <w:uiPriority w:val="0"/>
    <w:rPr>
      <w:b/>
    </w:rPr>
  </w:style>
  <w:style w:type="paragraph" w:customStyle="1" w:styleId="14">
    <w:name w:val="No Spacing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Calibri"/>
      <w:kern w:val="2"/>
      <w:sz w:val="32"/>
      <w:szCs w:val="32"/>
      <w:lang w:val="en-US" w:eastAsia="zh-CN" w:bidi="ar"/>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ind w:left="108" w:firstLine="535"/>
    </w:pPr>
  </w:style>
  <w:style w:type="paragraph" w:customStyle="1" w:styleId="17">
    <w:name w:val="Table Paragraph"/>
    <w:basedOn w:val="1"/>
    <w:qFormat/>
    <w:uiPriority w:val="1"/>
  </w:style>
  <w:style w:type="paragraph" w:customStyle="1" w:styleId="18">
    <w:name w:val="First Paragraph"/>
    <w:basedOn w:val="1"/>
    <w:next w:val="5"/>
    <w:qFormat/>
    <w:uiPriority w:val="0"/>
    <w:pPr>
      <w:spacing w:before="180"/>
      <w:ind w:firstLine="480" w:firstLineChars="200"/>
    </w:pPr>
    <w:rPr>
      <w:lang w:eastAsia="zh-CN"/>
    </w:rPr>
  </w:style>
  <w:style w:type="paragraph" w:customStyle="1" w:styleId="19">
    <w:name w:val="Compact"/>
    <w:basedOn w:val="5"/>
    <w:qFormat/>
    <w:uiPriority w:val="0"/>
    <w:pPr>
      <w:spacing w:before="60" w:after="60"/>
      <w:ind w:firstLine="0" w:firstLineChars="0"/>
    </w:pPr>
  </w:style>
  <w:style w:type="table" w:customStyle="1" w:styleId="20">
    <w:name w:val="Table"/>
    <w:semiHidden/>
    <w:unhideWhenUsed/>
    <w:qFormat/>
    <w:uiPriority w:val="0"/>
    <w:rPr>
      <w:rFonts w:ascii="Times New Roman" w:hAnsi="Times New Roman" w:eastAsia="仿宋"/>
      <w:sz w:val="20"/>
      <w:szCs w:val="20"/>
      <w:lang w:eastAsia="zh-CN"/>
    </w:rPr>
    <w:tblPr>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8" w:type="dxa"/>
        <w:left w:w="108" w:type="dxa"/>
        <w:bottom w:w="28" w:type="dxa"/>
        <w:right w:w="108" w:type="dxa"/>
      </w:tblCellMar>
    </w:tblPr>
    <w:trPr>
      <w:jc w:val="center"/>
    </w:trPr>
    <w:tcPr>
      <w:shd w:val="clear" w:color="auto" w:fill="auto"/>
      <w:vAlign w:val="center"/>
    </w:tcPr>
    <w:tblStylePr w:type="firstRow">
      <w:rPr>
        <w:rFonts w:eastAsia="宋体"/>
        <w:b/>
        <w:i w:val="0"/>
      </w:rPr>
      <w:tcPr>
        <w:tcBorders>
          <w:bottom w:val="single" w:color="auto"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fac18708-9b85-41e1-8daa-d948b009939c</errorID>
      <errorWord>年平均降水量</errorWord>
      <group>L1_Word</group>
      <groupName>字词问题</groupName>
      <ability>L2_Alias</ability>
      <abilityName>也作/曾用词</abilityName>
      <candidateList>
        <item>平均年降水量</item>
      </candidateList>
      <explain>词汇[年平均降水量]为不规范表述或旧称，其规范书面表述为[平均年降水量]。</explain>
      <paraID>5639C9BC</paraID>
      <start>42</start>
      <end>48</end>
      <status>unmodified</status>
      <modifiedWord/>
      <trackRevisions>false</trackRevisions>
    </reviewItem>
    <reviewItem>
      <errorID>25db73d4-af54-4371-a514-3998b11ac36b</errorID>
      <errorWord>涉及到</errorWord>
      <group>L1_Word</group>
      <groupName>字词问题</groupName>
      <ability>L2_Typo</ability>
      <abilityName>字词错误</abilityName>
      <candidateList>
        <item>涉及</item>
      </candidateList>
      <explain>〈动〉牵涉到；关联到：案子～好几个人｜这个问题～面很广。</explain>
      <paraID> 6AB442C</paraID>
      <start>43</start>
      <end>46</end>
      <status>unmodified</status>
      <modifiedWord/>
      <trackRevisions>false</trackRevisions>
    </reviewItem>
    <reviewItem>
      <errorID>b75d2519-63ed-4990-87c1-3d86eb12fecb</errorID>
      <errorWord>涉及到</errorWord>
      <group>L1_Word</group>
      <groupName>字词问题</groupName>
      <ability>L2_Typo</ability>
      <abilityName>字词错误</abilityName>
      <candidateList>
        <item>涉及</item>
      </candidateList>
      <explain>〈动〉牵涉到；关联到：案子～好几个人｜这个问题～面很广。</explain>
      <paraID> 6AB442C</paraID>
      <start>62</start>
      <end>65</end>
      <status>unmodified</status>
      <modifiedWord/>
      <trackRevisions>false</trackRevisions>
    </reviewItem>
    <reviewItem>
      <errorID>e70c8e8c-1933-4bb9-8eaa-8a88a31ca27a</errorID>
      <errorWord>，</errorWord>
      <group>L1_Word</group>
      <groupName>字词问题</groupName>
      <ability>L2_Typo</ability>
      <abilityName>字词错误</abilityName>
      <candidateList>
        <item>，在</item>
      </candidateList>
      <explain/>
      <paraID>2395BCF3</paraID>
      <start>24</start>
      <end>25</end>
      <status>unmodified</status>
      <modifiedWord/>
      <trackRevisions>false</trackRevisions>
    </reviewItem>
    <reviewItem>
      <errorID>877bfb07-41f2-4335-b097-694be78c60a9</errorID>
      <errorWord>提高</errorWord>
      <group>L1_Word</group>
      <groupName>字词问题</groupName>
      <ability>L2_Typo</ability>
      <abilityName>字词错误</abilityName>
      <candidateList>
        <item>增强</item>
      </candidateList>
      <explain>“提高～意识”搭配不当，建议修改为“增强～意识”。</explain>
      <paraID> 2B3DC10</paraID>
      <start>41</start>
      <end>43</end>
      <status>unmodified</status>
      <modifiedWord/>
      <trackRevisions>false</trackRevisions>
    </reviewItem>
    <reviewItem>
      <errorID>549f38cc-3cff-454e-911c-1916178cd831</errorID>
      <errorWord>防灾抗灾能力</errorWord>
      <group>L1_Political</group>
      <groupName>政治性问题</groupName>
      <ability>L2_Keyword</ability>
      <abilityName>固定表述</abilityName>
      <candidateList>
        <item>防灾减灾能力</item>
      </candidateList>
      <explain>词汇“防灾减灾能力”在特定场景下为固定表述形式，请确认此处的“防灾抗灾能力”是否存在不当。</explain>
      <paraID>69D41114</paraID>
      <start>54</start>
      <end>60</end>
      <status>unmodified</status>
      <modifiedWord/>
      <trackRevisions>false</trackRevisions>
    </reviewItem>
    <reviewItem>
      <errorID>921232f6-6ada-4776-a518-fb9a3ad69f04</errorID>
      <errorWord>商业机</errorWord>
      <group>L1_Word</group>
      <groupName>字词问题</groupName>
      <ability>L2_Typo</ability>
      <abilityName>字词错误</abilityName>
      <candidateList>
        <item>商业秘</item>
      </candidateList>
      <explain/>
      <paraID>428E5501</paraID>
      <start>53</start>
      <end>56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9e6816-f541-4f30-ad77-d378ad47a696}">
  <ds:schemaRefs/>
</ds:datastoreItem>
</file>

<file path=docProps/app.xml><?xml version="1.0" encoding="utf-8"?>
<Properties xmlns="http://schemas.openxmlformats.org/officeDocument/2006/extended-properties" xmlns:vt="http://schemas.openxmlformats.org/officeDocument/2006/docPropsVTypes">
  <Template>Normal</Template>
  <Pages>48</Pages>
  <Words>18142</Words>
  <Characters>18380</Characters>
  <Lines>487</Lines>
  <Paragraphs>452</Paragraphs>
  <TotalTime>17</TotalTime>
  <ScaleCrop>false</ScaleCrop>
  <LinksUpToDate>false</LinksUpToDate>
  <CharactersWithSpaces>18558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2025-09-17T01:07:00Z</dcterms:created>
  <dc:creator>28-3</dc:creator>
  <cp:lastModifiedBy>A</cp:lastModifiedBy>
  <cp:lastPrinted>2025-11-11T14:56:00Z</cp:lastPrinted>
  <dcterms:modified xsi:type="dcterms:W3CDTF">2026-02-02T07:10:46Z</dcterms:modified>
  <dc:title>全省应急管理工作会议各地交流材料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2023-07-17T00:00:00Z</vt:filetime>
  </property>
  <property fmtid="{D5CDD505-2E9C-101B-9397-08002B2CF9AE}" pid="3" name="Creator">
    <vt:lpwstr>WPS 文字</vt:lpwstr>
  </property>
  <property fmtid="{D5CDD505-2E9C-101B-9397-08002B2CF9AE}" pid="4" name="LastSaved">
    <vt:filetime>2025-09-17T00:00:00Z</vt:filetime>
  </property>
  <property fmtid="{D5CDD505-2E9C-101B-9397-08002B2CF9AE}" pid="5" name="KSOProductBuildVer">
    <vt:lpwstr>2052-12.1.0.24657</vt:lpwstr>
  </property>
  <property fmtid="{D5CDD505-2E9C-101B-9397-08002B2CF9AE}" pid="6" name="ICV">
    <vt:lpwstr>82AFBD3A63E740D890361A2A508D3293_13</vt:lpwstr>
  </property>
  <property fmtid="{D5CDD505-2E9C-101B-9397-08002B2CF9AE}" pid="7" name="KSOTemplateDocerSaveRecord">
    <vt:lpwstr>eyJoZGlkIjoiMGQ0ODlkZjk1YWVhMmM1YjE4NTliNDE5NmJiMTdmNGMiLCJ1c2VySWQiOiIyNTc2OTIxMzcifQ==</vt:lpwstr>
  </property>
</Properties>
</file>