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4B714">
      <w:pPr>
        <w:pStyle w:val="4"/>
        <w:spacing w:line="252" w:lineRule="auto"/>
      </w:pPr>
    </w:p>
    <w:p w14:paraId="67E03B73">
      <w:pPr>
        <w:pStyle w:val="4"/>
        <w:spacing w:line="252" w:lineRule="auto"/>
      </w:pPr>
    </w:p>
    <w:p w14:paraId="2055AC08">
      <w:pPr>
        <w:pStyle w:val="4"/>
        <w:spacing w:line="252" w:lineRule="auto"/>
      </w:pPr>
    </w:p>
    <w:p w14:paraId="11B56F0C">
      <w:pPr>
        <w:pStyle w:val="4"/>
        <w:spacing w:line="252" w:lineRule="auto"/>
      </w:pPr>
    </w:p>
    <w:p w14:paraId="7871E56A">
      <w:pPr>
        <w:pStyle w:val="4"/>
        <w:spacing w:line="252" w:lineRule="auto"/>
      </w:pPr>
    </w:p>
    <w:p w14:paraId="447B0D57">
      <w:pPr>
        <w:pStyle w:val="4"/>
        <w:spacing w:line="253" w:lineRule="auto"/>
      </w:pPr>
    </w:p>
    <w:p w14:paraId="3FBBA9EF">
      <w:pPr>
        <w:pStyle w:val="4"/>
        <w:spacing w:line="253" w:lineRule="auto"/>
      </w:pPr>
    </w:p>
    <w:p w14:paraId="1D72FBCF">
      <w:pPr>
        <w:pStyle w:val="4"/>
        <w:spacing w:line="253" w:lineRule="auto"/>
      </w:pPr>
    </w:p>
    <w:p w14:paraId="5F3300B3">
      <w:pPr>
        <w:pStyle w:val="4"/>
        <w:spacing w:line="253" w:lineRule="auto"/>
      </w:pPr>
    </w:p>
    <w:p w14:paraId="42AEBE53">
      <w:pPr>
        <w:pStyle w:val="4"/>
        <w:spacing w:line="253" w:lineRule="auto"/>
      </w:pPr>
    </w:p>
    <w:p w14:paraId="44C85430">
      <w:pPr>
        <w:pStyle w:val="4"/>
        <w:spacing w:line="251" w:lineRule="auto"/>
        <w:rPr>
          <w:lang w:eastAsia="zh-CN"/>
        </w:rPr>
      </w:pPr>
    </w:p>
    <w:p w14:paraId="54528DB4">
      <w:pPr>
        <w:pStyle w:val="4"/>
        <w:spacing w:line="251" w:lineRule="auto"/>
        <w:rPr>
          <w:lang w:eastAsia="zh-CN"/>
        </w:rPr>
      </w:pPr>
    </w:p>
    <w:p w14:paraId="7E130B2D">
      <w:pPr>
        <w:pStyle w:val="4"/>
        <w:spacing w:line="251" w:lineRule="auto"/>
        <w:rPr>
          <w:lang w:eastAsia="zh-CN"/>
        </w:rPr>
      </w:pPr>
    </w:p>
    <w:p w14:paraId="3BA0C6EB">
      <w:pPr>
        <w:pStyle w:val="4"/>
        <w:spacing w:line="251" w:lineRule="auto"/>
        <w:rPr>
          <w:lang w:eastAsia="zh-CN"/>
        </w:rPr>
      </w:pPr>
    </w:p>
    <w:p w14:paraId="21FBEBBB">
      <w:pPr>
        <w:pStyle w:val="4"/>
        <w:spacing w:line="251" w:lineRule="auto"/>
        <w:rPr>
          <w:lang w:eastAsia="zh-CN"/>
        </w:rPr>
      </w:pPr>
    </w:p>
    <w:p w14:paraId="588F2DEA">
      <w:pPr>
        <w:keepNext w:val="0"/>
        <w:keepLines w:val="0"/>
        <w:pageBreakBefore w:val="0"/>
        <w:widowControl/>
        <w:kinsoku w:val="0"/>
        <w:wordWrap/>
        <w:overflowPunct/>
        <w:topLinePunct w:val="0"/>
        <w:autoSpaceDE w:val="0"/>
        <w:autoSpaceDN w:val="0"/>
        <w:bidi w:val="0"/>
        <w:adjustRightInd w:val="0"/>
        <w:snapToGrid w:val="0"/>
        <w:spacing w:before="140" w:line="240" w:lineRule="auto"/>
        <w:ind w:firstLine="896" w:firstLineChars="200"/>
        <w:jc w:val="center"/>
        <w:textAlignment w:val="baseline"/>
        <w:rPr>
          <w:rFonts w:hint="eastAsia" w:ascii="方正小标宋简体" w:hAnsi="方正小标宋简体" w:eastAsia="方正小标宋简体" w:cs="方正小标宋简体"/>
          <w:b w:val="0"/>
          <w:bCs w:val="0"/>
          <w:snapToGrid w:val="0"/>
          <w:color w:val="000000"/>
          <w:spacing w:val="4"/>
          <w:kern w:val="0"/>
          <w:sz w:val="44"/>
          <w:szCs w:val="44"/>
          <w:lang w:val="zh-CN" w:eastAsia="zh-CN"/>
        </w:rPr>
      </w:pPr>
      <w:r>
        <w:rPr>
          <w:rFonts w:hint="eastAsia" w:ascii="方正小标宋简体" w:hAnsi="方正小标宋简体" w:eastAsia="方正小标宋简体" w:cs="方正小标宋简体"/>
          <w:b w:val="0"/>
          <w:bCs w:val="0"/>
          <w:snapToGrid w:val="0"/>
          <w:color w:val="000000"/>
          <w:spacing w:val="4"/>
          <w:kern w:val="0"/>
          <w:sz w:val="44"/>
          <w:szCs w:val="44"/>
          <w:lang w:val="zh-CN" w:eastAsia="zh-CN"/>
        </w:rPr>
        <w:t>佳木斯市向阳区</w:t>
      </w:r>
    </w:p>
    <w:p w14:paraId="07E140B4">
      <w:pPr>
        <w:keepNext w:val="0"/>
        <w:keepLines w:val="0"/>
        <w:pageBreakBefore w:val="0"/>
        <w:widowControl/>
        <w:kinsoku w:val="0"/>
        <w:wordWrap/>
        <w:overflowPunct/>
        <w:topLinePunct w:val="0"/>
        <w:autoSpaceDE w:val="0"/>
        <w:autoSpaceDN w:val="0"/>
        <w:bidi w:val="0"/>
        <w:adjustRightInd w:val="0"/>
        <w:snapToGrid w:val="0"/>
        <w:spacing w:before="140" w:line="240" w:lineRule="auto"/>
        <w:ind w:firstLine="896" w:firstLineChars="200"/>
        <w:jc w:val="center"/>
        <w:textAlignment w:val="baseline"/>
        <w:rPr>
          <w:rFonts w:hint="eastAsia" w:asciiTheme="majorEastAsia" w:hAnsiTheme="majorEastAsia" w:eastAsiaTheme="majorEastAsia" w:cstheme="majorEastAsia"/>
          <w:b w:val="0"/>
          <w:bCs w:val="0"/>
          <w:snapToGrid/>
          <w:kern w:val="2"/>
          <w:sz w:val="44"/>
          <w:szCs w:val="44"/>
          <w:lang w:eastAsia="zh-CN"/>
        </w:rPr>
      </w:pPr>
      <w:r>
        <w:rPr>
          <w:rFonts w:hint="eastAsia" w:ascii="方正小标宋简体" w:hAnsi="方正小标宋简体" w:eastAsia="方正小标宋简体" w:cs="方正小标宋简体"/>
          <w:b w:val="0"/>
          <w:bCs w:val="0"/>
          <w:snapToGrid w:val="0"/>
          <w:color w:val="000000"/>
          <w:spacing w:val="4"/>
          <w:kern w:val="0"/>
          <w:sz w:val="44"/>
          <w:szCs w:val="44"/>
          <w:lang w:val="zh-CN" w:eastAsia="zh-CN"/>
        </w:rPr>
        <w:t>特种设备事故应急预案</w:t>
      </w:r>
    </w:p>
    <w:p w14:paraId="677BF2EF">
      <w:pPr>
        <w:pStyle w:val="4"/>
        <w:spacing w:line="251" w:lineRule="auto"/>
        <w:rPr>
          <w:lang w:eastAsia="zh-CN"/>
        </w:rPr>
      </w:pPr>
    </w:p>
    <w:p w14:paraId="1923A7D9">
      <w:pPr>
        <w:pStyle w:val="4"/>
        <w:spacing w:line="251" w:lineRule="auto"/>
        <w:rPr>
          <w:lang w:eastAsia="zh-CN"/>
        </w:rPr>
      </w:pPr>
    </w:p>
    <w:p w14:paraId="07EAEE53">
      <w:pPr>
        <w:pStyle w:val="4"/>
        <w:spacing w:line="251" w:lineRule="auto"/>
        <w:rPr>
          <w:lang w:eastAsia="zh-CN"/>
        </w:rPr>
      </w:pPr>
    </w:p>
    <w:p w14:paraId="5AC5AC5C">
      <w:pPr>
        <w:pStyle w:val="4"/>
        <w:spacing w:line="251" w:lineRule="auto"/>
        <w:rPr>
          <w:lang w:eastAsia="zh-CN"/>
        </w:rPr>
      </w:pPr>
    </w:p>
    <w:p w14:paraId="6C7226D4">
      <w:pPr>
        <w:pStyle w:val="4"/>
        <w:spacing w:line="251" w:lineRule="auto"/>
        <w:rPr>
          <w:lang w:eastAsia="zh-CN"/>
        </w:rPr>
      </w:pPr>
    </w:p>
    <w:p w14:paraId="724871F2">
      <w:pPr>
        <w:pStyle w:val="4"/>
        <w:spacing w:line="251" w:lineRule="auto"/>
        <w:rPr>
          <w:lang w:eastAsia="zh-CN"/>
        </w:rPr>
      </w:pPr>
    </w:p>
    <w:p w14:paraId="60485682">
      <w:pPr>
        <w:pStyle w:val="4"/>
        <w:spacing w:line="251" w:lineRule="auto"/>
        <w:rPr>
          <w:lang w:eastAsia="zh-CN"/>
        </w:rPr>
      </w:pPr>
    </w:p>
    <w:p w14:paraId="522BB455">
      <w:pPr>
        <w:pStyle w:val="4"/>
        <w:spacing w:line="251" w:lineRule="auto"/>
        <w:rPr>
          <w:lang w:eastAsia="zh-CN"/>
        </w:rPr>
      </w:pPr>
    </w:p>
    <w:p w14:paraId="71B20B6D">
      <w:pPr>
        <w:pStyle w:val="4"/>
        <w:spacing w:line="251" w:lineRule="auto"/>
        <w:rPr>
          <w:lang w:eastAsia="zh-CN"/>
        </w:rPr>
      </w:pPr>
    </w:p>
    <w:p w14:paraId="566D39AD">
      <w:pPr>
        <w:pStyle w:val="4"/>
        <w:spacing w:line="251" w:lineRule="auto"/>
        <w:rPr>
          <w:lang w:eastAsia="zh-CN"/>
        </w:rPr>
      </w:pPr>
    </w:p>
    <w:p w14:paraId="374A7D09">
      <w:pPr>
        <w:pStyle w:val="4"/>
        <w:spacing w:line="251" w:lineRule="auto"/>
        <w:rPr>
          <w:lang w:eastAsia="zh-CN"/>
        </w:rPr>
      </w:pPr>
    </w:p>
    <w:p w14:paraId="3FAB9E48">
      <w:pPr>
        <w:pStyle w:val="4"/>
        <w:spacing w:line="251" w:lineRule="auto"/>
        <w:rPr>
          <w:lang w:eastAsia="zh-CN"/>
        </w:rPr>
      </w:pPr>
    </w:p>
    <w:p w14:paraId="35E40C18">
      <w:pPr>
        <w:pStyle w:val="4"/>
        <w:spacing w:line="251" w:lineRule="auto"/>
        <w:rPr>
          <w:lang w:eastAsia="zh-CN"/>
        </w:rPr>
      </w:pPr>
    </w:p>
    <w:p w14:paraId="08B0C9B1">
      <w:pPr>
        <w:spacing w:line="223" w:lineRule="auto"/>
        <w:rPr>
          <w:rFonts w:hint="eastAsia" w:ascii="宋体" w:hAnsi="宋体" w:eastAsia="宋体" w:cs="宋体"/>
          <w:sz w:val="43"/>
          <w:szCs w:val="43"/>
          <w:lang w:eastAsia="zh-CN"/>
        </w:rPr>
        <w:sectPr>
          <w:footerReference r:id="rId3" w:type="default"/>
          <w:pgSz w:w="11906" w:h="16839"/>
          <w:pgMar w:top="2098" w:right="1474" w:bottom="1984" w:left="1587" w:header="0" w:footer="1184" w:gutter="0"/>
          <w:pgNumType w:fmt="decimal"/>
          <w:cols w:space="720" w:num="1"/>
        </w:sectPr>
      </w:pPr>
    </w:p>
    <w:sdt>
      <w:sdtPr>
        <w:rPr>
          <w:rFonts w:hint="eastAsia" w:ascii="宋体" w:hAnsi="宋体" w:eastAsia="宋体" w:cs="宋体"/>
          <w:snapToGrid w:val="0"/>
          <w:color w:val="000000"/>
          <w:kern w:val="0"/>
          <w:sz w:val="32"/>
          <w:szCs w:val="32"/>
          <w:lang w:eastAsia="zh-CN"/>
        </w:rPr>
        <w:id w:val="147455244"/>
        <w15:color w:val="DBDBDB"/>
        <w:docPartObj>
          <w:docPartGallery w:val="Table of Contents"/>
          <w:docPartUnique/>
        </w:docPartObj>
      </w:sdtPr>
      <w:sdtEndPr>
        <w:rPr>
          <w:rFonts w:hint="eastAsia" w:ascii="仿宋" w:hAnsi="仿宋" w:eastAsia="仿宋" w:cs="仿宋"/>
          <w:snapToGrid w:val="0"/>
          <w:color w:val="000000"/>
          <w:kern w:val="0"/>
          <w:sz w:val="32"/>
          <w:szCs w:val="32"/>
          <w:lang w:eastAsia="zh-CN"/>
        </w:rPr>
      </w:sdtEndPr>
      <w:sdtContent>
        <w:p w14:paraId="01363E08">
          <w:pPr>
            <w:spacing w:before="317" w:line="221" w:lineRule="auto"/>
            <w:ind w:firstLine="640" w:firstLineChars="200"/>
            <w:jc w:val="center"/>
            <w:rPr>
              <w:rFonts w:hint="eastAsia" w:ascii="宋体" w:hAnsi="宋体" w:eastAsia="宋体" w:cs="宋体"/>
              <w:snapToGrid w:val="0"/>
              <w:color w:val="000000"/>
              <w:kern w:val="0"/>
              <w:sz w:val="32"/>
              <w:szCs w:val="32"/>
              <w:lang w:eastAsia="zh-CN"/>
            </w:rPr>
          </w:pPr>
          <w:r>
            <w:rPr>
              <w:rFonts w:hint="eastAsia" w:ascii="宋体" w:hAnsi="宋体" w:eastAsia="宋体" w:cs="宋体"/>
              <w:snapToGrid w:val="0"/>
              <w:color w:val="000000"/>
              <w:kern w:val="0"/>
              <w:sz w:val="32"/>
              <w:szCs w:val="32"/>
              <w:lang w:eastAsia="zh-CN"/>
            </w:rPr>
            <w:t>目录</w:t>
          </w:r>
        </w:p>
        <w:p w14:paraId="279D96BC">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_Toc9910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一、总则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_Toc9910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09FF5CA">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_Toc12976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（一）编制目的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_Toc12976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1F67A7A">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_Toc29105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（二）编制依据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_Toc29105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C126E09">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_Toc14680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（三）适用范围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_Toc14680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280283F">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_Toc3091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（四）工作原则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_Toc3091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9F26F9C">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_Toc12221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二、组织指挥体系及职责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_Toc12221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D03C74E">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_Toc26205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（一）特种设备事故应急指挥部组成及职责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_Toc26205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FF1FF0D">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_Toc15892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（二）现场指挥部组成及职责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_Toc15892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F81F99C">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_Toc25303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三、风险管控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_Toc25303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672A367">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_Toc21701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（一）风险识别与评估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_Toc21701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C4D1A97">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_Toc29318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（二）风险控制与治理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_Toc29318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AE3C5FB">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_Toc16917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（三）监控与更新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_Toc16917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AF0F6EF">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_Toc3746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四、事故分级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_Toc3746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8141C37">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_Toc5690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（一）特别重大事故（I级）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_Toc5690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E6BB2E7">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_Toc6887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（二）重大事故（Ⅱ级）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_Toc6887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B5C33DF">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_Toc20726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（三）较大事故（Ⅲ级）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_Toc20726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C6FDF5E">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_Toc24370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（四）一般事故（Ⅳ级）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_Toc24370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48C16FF">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_Toc27953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五、预警和预防机制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_Toc27953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86B5BE0">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_Toc31565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六、应急响应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_Toc31565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2673D49">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_Toc16930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（一）Ⅰ级响应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_Toc16930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DD128F3">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_Toc3543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（二）Ⅱ级响应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_Toc3543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151C530">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_Toc12043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（三）Ⅲ级响应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_Toc12043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DCEDAB5">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_Toc20392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（四）Ⅳ级响应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_Toc20392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904D2B4">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_Toc28054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七、应急处置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_Toc28054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C03752E">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_Toc12071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（一）信息报告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_Toc12071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31D0CDF">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_Toc2132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（二）紧急处置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_Toc2132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744946C">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_Toc4962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（三）指挥和协调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_Toc4962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5D55193">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_Toc7657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（四）社会力量动员与参与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_Toc7657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98F89C1">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_Toc27890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（五）信息发布、媒体应对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_Toc27890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272E81E">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_Toc7915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（六）应急处置终止</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_Toc7915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4DAA945">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_Toc10991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八、后期处置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_Toc10991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8BDA199">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_Toc25481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（一）善后处理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_Toc25481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4FA2B9B">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_Toc7289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（二）社会救助</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_Toc7289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D539320">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_Toc8035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（三）保险</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_Toc8035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ABAC1F1">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_Toc19366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（四）总结评估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_Toc19366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273AE05">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_Toc11591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九、保障措施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_Toc11591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2D0FAC7">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_Toc1242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（一）通讯保障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_Toc1242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10083D9">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_Toc14762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（二）应急救援与保障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_Toc14762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4C1E036">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_Toc5583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（三）技术储备与保障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_Toc5583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78B80E2">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_Toc18966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（四）奖励与责任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_Toc18966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B7C0042">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_Toc27087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十、预案管理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_Toc27087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70A0A3B">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_Toc20712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（一）培训和演练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_Toc20712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C3F6226">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_Toc5373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（二）预案更新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_Toc5373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0D0364F">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_Toc14351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（三）预案实施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_Toc14351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6BAEC89">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_Toc11928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十一、附则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_Toc11928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A279A03">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_Toc25258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十二、</w:t>
          </w:r>
          <w:r>
            <w:rPr>
              <w:rFonts w:hint="eastAsia" w:ascii="仿宋" w:hAnsi="仿宋" w:eastAsia="仿宋" w:cs="仿宋"/>
              <w:spacing w:val="0"/>
              <w:sz w:val="32"/>
              <w:szCs w:val="32"/>
              <w:lang w:val="en-US" w:eastAsia="zh-CN"/>
            </w:rPr>
            <w:t>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_Toc25258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3A3FBA0">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_Toc6814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 xml:space="preserve">附件1 </w:t>
          </w:r>
          <w:r>
            <w:rPr>
              <w:rFonts w:hint="eastAsia" w:ascii="仿宋" w:hAnsi="仿宋" w:eastAsia="仿宋" w:cs="仿宋"/>
              <w:sz w:val="32"/>
              <w:szCs w:val="32"/>
              <w:lang w:eastAsia="zh-CN"/>
            </w:rPr>
            <w:t>特种设备事故应急救援组织指挥体系图</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_Toc6814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D7688EA">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_Toc9526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附件2 风险分级管控及评价方法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_Toc9526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E4F7F10">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p>
        <w:p w14:paraId="389B4ECE">
          <w:pPr>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end"/>
          </w:r>
        </w:p>
      </w:sdtContent>
    </w:sdt>
    <w:p w14:paraId="392AF619">
      <w:pPr>
        <w:tabs>
          <w:tab w:val="right" w:leader="dot" w:pos="8310"/>
        </w:tabs>
        <w:spacing w:line="560" w:lineRule="exact"/>
        <w:ind w:firstLine="652" w:firstLineChars="200"/>
        <w:jc w:val="both"/>
        <w:outlineLvl w:val="0"/>
        <w:rPr>
          <w:rFonts w:hint="eastAsia" w:ascii="黑体" w:hAnsi="黑体" w:eastAsia="黑体" w:cs="黑体"/>
          <w:spacing w:val="3"/>
          <w:sz w:val="32"/>
          <w:szCs w:val="32"/>
          <w:lang w:eastAsia="zh-CN"/>
        </w:rPr>
      </w:pPr>
    </w:p>
    <w:p w14:paraId="402FFEF0">
      <w:pPr>
        <w:tabs>
          <w:tab w:val="right" w:leader="dot" w:pos="8310"/>
        </w:tabs>
        <w:spacing w:line="560" w:lineRule="exact"/>
        <w:ind w:firstLine="652" w:firstLineChars="200"/>
        <w:jc w:val="both"/>
        <w:outlineLvl w:val="0"/>
        <w:rPr>
          <w:rFonts w:hint="eastAsia" w:ascii="黑体" w:hAnsi="黑体" w:eastAsia="黑体" w:cs="黑体"/>
          <w:spacing w:val="3"/>
          <w:sz w:val="32"/>
          <w:szCs w:val="32"/>
          <w:lang w:eastAsia="zh-CN"/>
        </w:rPr>
        <w:sectPr>
          <w:footerReference r:id="rId4" w:type="default"/>
          <w:pgSz w:w="11906" w:h="16839"/>
          <w:pgMar w:top="1431" w:right="1485" w:bottom="1355" w:left="1599" w:header="0" w:footer="1184" w:gutter="0"/>
          <w:pgNumType w:fmt="decimal" w:start="1"/>
          <w:cols w:space="720" w:num="1"/>
        </w:sectPr>
      </w:pPr>
    </w:p>
    <w:p w14:paraId="0C541F92">
      <w:pPr>
        <w:keepNext w:val="0"/>
        <w:keepLines w:val="0"/>
        <w:pageBreakBefore w:val="0"/>
        <w:widowControl w:val="0"/>
        <w:tabs>
          <w:tab w:val="right" w:leader="dot" w:pos="8310"/>
        </w:tabs>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spacing w:val="0"/>
          <w:sz w:val="32"/>
          <w:szCs w:val="32"/>
          <w:lang w:eastAsia="zh-CN"/>
        </w:rPr>
      </w:pPr>
      <w:bookmarkStart w:id="0" w:name="_Toc9910"/>
      <w:r>
        <w:rPr>
          <w:rFonts w:hint="eastAsia" w:ascii="黑体" w:hAnsi="黑体" w:eastAsia="黑体" w:cs="黑体"/>
          <w:spacing w:val="0"/>
          <w:sz w:val="32"/>
          <w:szCs w:val="32"/>
          <w:lang w:eastAsia="zh-CN"/>
        </w:rPr>
        <w:t>一、总则</w:t>
      </w:r>
      <w:bookmarkEnd w:id="0"/>
    </w:p>
    <w:p w14:paraId="124BEA7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spacing w:val="0"/>
          <w:sz w:val="32"/>
          <w:szCs w:val="32"/>
          <w:lang w:eastAsia="zh-CN"/>
        </w:rPr>
      </w:pPr>
      <w:bookmarkStart w:id="1" w:name="bookmark49"/>
      <w:bookmarkEnd w:id="1"/>
      <w:bookmarkStart w:id="2" w:name="_Toc12976"/>
      <w:r>
        <w:rPr>
          <w:rFonts w:hint="eastAsia" w:ascii="楷体" w:hAnsi="楷体" w:eastAsia="楷体" w:cs="楷体"/>
          <w:b w:val="0"/>
          <w:bCs w:val="0"/>
          <w:spacing w:val="0"/>
          <w:sz w:val="32"/>
          <w:szCs w:val="32"/>
          <w:lang w:eastAsia="zh-CN"/>
        </w:rPr>
        <w:t>（一）编制目的</w:t>
      </w:r>
      <w:bookmarkEnd w:id="2"/>
    </w:p>
    <w:p w14:paraId="056EF3E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eastAsia="zh-CN"/>
        </w:rPr>
        <w:t>为有效预防向阳区特种设备事故的发生，及时控制和消除突发性危害，建立统一指挥、职责明确、运转有序、反应迅速、处置有力的应急救援体系，使应急救援工作安全、有序、科学、高效地实施，最大限度地减少事故或灾难造成的人员伤亡和财产损失。</w:t>
      </w:r>
    </w:p>
    <w:p w14:paraId="0C8FDDD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spacing w:val="0"/>
          <w:sz w:val="32"/>
          <w:szCs w:val="32"/>
          <w:lang w:eastAsia="zh-CN"/>
        </w:rPr>
      </w:pPr>
      <w:bookmarkStart w:id="3" w:name="bookmark4"/>
      <w:bookmarkEnd w:id="3"/>
      <w:bookmarkStart w:id="4" w:name="_Toc29105"/>
      <w:r>
        <w:rPr>
          <w:rFonts w:hint="eastAsia" w:ascii="楷体" w:hAnsi="楷体" w:eastAsia="楷体" w:cs="楷体"/>
          <w:b w:val="0"/>
          <w:bCs w:val="0"/>
          <w:spacing w:val="0"/>
          <w:sz w:val="32"/>
          <w:szCs w:val="32"/>
          <w:lang w:eastAsia="zh-CN"/>
        </w:rPr>
        <w:t>（二）编制依据</w:t>
      </w:r>
      <w:bookmarkEnd w:id="4"/>
    </w:p>
    <w:p w14:paraId="063ED47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1.《中华人民共和国安全生产法》（主席令第88号）</w:t>
      </w:r>
    </w:p>
    <w:p w14:paraId="336A35D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2.《中华人民共和国特种设备安全法》（主席令第4号）</w:t>
      </w:r>
    </w:p>
    <w:p w14:paraId="0C9F898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3.《中华人民共和国突发事件应对法》（主席令第69号）</w:t>
      </w:r>
    </w:p>
    <w:p w14:paraId="5F6C3B3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4.《中华人民共和国消防法》（主席令第81号）</w:t>
      </w:r>
    </w:p>
    <w:p w14:paraId="56287CC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5.《特种设备安全监察条例》（国务院令第373号）</w:t>
      </w:r>
    </w:p>
    <w:p w14:paraId="6A47C94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6.《国务院关于特大安全事故行政责任追究的规定》（国务院令第302号）</w:t>
      </w:r>
    </w:p>
    <w:p w14:paraId="5F02046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7.《特种设备特大事故应急预案》（国市监特设发〔2024〕41号）</w:t>
      </w:r>
    </w:p>
    <w:p w14:paraId="6B6FF28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8.《特种设备事故报告和调查处理规定》（2022年3月1日起施行）</w:t>
      </w:r>
    </w:p>
    <w:p w14:paraId="40B822B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9.《特种设备事故报告和调查处理导则》（市场监管总局令第50号）</w:t>
      </w:r>
    </w:p>
    <w:p w14:paraId="7317F80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10.《佳木斯市特种设备事故应急预案》</w:t>
      </w:r>
    </w:p>
    <w:p w14:paraId="79931DE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11.《佳木斯市向阳区突发事件总体应急预案》</w:t>
      </w:r>
    </w:p>
    <w:p w14:paraId="1BEFF0D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spacing w:val="0"/>
          <w:sz w:val="32"/>
          <w:szCs w:val="32"/>
          <w:lang w:eastAsia="zh-CN"/>
        </w:rPr>
      </w:pPr>
      <w:bookmarkStart w:id="5" w:name="bookmark5"/>
      <w:bookmarkEnd w:id="5"/>
      <w:bookmarkStart w:id="6" w:name="_Toc14680"/>
      <w:r>
        <w:rPr>
          <w:rFonts w:hint="eastAsia" w:ascii="楷体" w:hAnsi="楷体" w:eastAsia="楷体" w:cs="楷体"/>
          <w:b w:val="0"/>
          <w:bCs w:val="0"/>
          <w:spacing w:val="0"/>
          <w:sz w:val="32"/>
          <w:szCs w:val="32"/>
          <w:lang w:eastAsia="zh-CN"/>
        </w:rPr>
        <w:t>（三）适用范围</w:t>
      </w:r>
      <w:bookmarkEnd w:id="6"/>
    </w:p>
    <w:p w14:paraId="5EF6C5D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eastAsia="zh-CN"/>
        </w:rPr>
        <w:t>在向阳区行政区域内，因特种设备本身或外在（人为）因素导致设备爆炸、火灾、泄漏、损坏、失效、缺陷、故障而造成人员伤亡和经济损失的特种设备事故应对工作，本预案与市级政府预案相互衔接。</w:t>
      </w:r>
    </w:p>
    <w:p w14:paraId="3C1188C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spacing w:val="0"/>
          <w:sz w:val="32"/>
          <w:szCs w:val="32"/>
          <w:lang w:eastAsia="zh-CN"/>
        </w:rPr>
      </w:pPr>
      <w:bookmarkStart w:id="7" w:name="bookmark6"/>
      <w:bookmarkEnd w:id="7"/>
      <w:bookmarkStart w:id="8" w:name="_Toc3091"/>
      <w:r>
        <w:rPr>
          <w:rFonts w:hint="eastAsia" w:ascii="楷体" w:hAnsi="楷体" w:eastAsia="楷体" w:cs="楷体"/>
          <w:b w:val="0"/>
          <w:bCs w:val="0"/>
          <w:spacing w:val="0"/>
          <w:sz w:val="32"/>
          <w:szCs w:val="32"/>
          <w:lang w:eastAsia="zh-CN"/>
        </w:rPr>
        <w:t>（四）工作原则</w:t>
      </w:r>
      <w:bookmarkEnd w:id="8"/>
    </w:p>
    <w:p w14:paraId="07B802F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eastAsia="zh-CN"/>
        </w:rPr>
        <w:t>坚持“党委领导、政府主导、专业处置、部门联动、条块结合、全社会共同参与”的应急管理工作原则，应急救援体系力求职责明确、规范有序、依靠科技、信息共享、功能健全、反应灵敏、运转高效，做到及时预警、及时发现、及时响应、及时处置。</w:t>
      </w:r>
    </w:p>
    <w:p w14:paraId="3955C58C">
      <w:pPr>
        <w:keepNext w:val="0"/>
        <w:keepLines w:val="0"/>
        <w:pageBreakBefore w:val="0"/>
        <w:widowControl w:val="0"/>
        <w:tabs>
          <w:tab w:val="right" w:leader="dot" w:pos="8310"/>
        </w:tabs>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b w:val="0"/>
          <w:bCs w:val="0"/>
          <w:spacing w:val="0"/>
          <w:sz w:val="32"/>
          <w:szCs w:val="32"/>
          <w:lang w:eastAsia="zh-CN"/>
        </w:rPr>
      </w:pPr>
      <w:bookmarkStart w:id="9" w:name="bookmark1"/>
      <w:bookmarkEnd w:id="9"/>
      <w:bookmarkStart w:id="10" w:name="bookmark8"/>
      <w:bookmarkEnd w:id="10"/>
      <w:bookmarkStart w:id="11" w:name="bookmark7"/>
      <w:bookmarkEnd w:id="11"/>
      <w:bookmarkStart w:id="12" w:name="_Toc12221"/>
      <w:r>
        <w:rPr>
          <w:rFonts w:hint="eastAsia" w:ascii="黑体" w:hAnsi="黑体" w:eastAsia="黑体" w:cs="黑体"/>
          <w:b w:val="0"/>
          <w:bCs w:val="0"/>
          <w:spacing w:val="0"/>
          <w:sz w:val="32"/>
          <w:szCs w:val="32"/>
          <w:lang w:eastAsia="zh-CN"/>
        </w:rPr>
        <w:t>二、组织指挥体系及职责</w:t>
      </w:r>
      <w:bookmarkEnd w:id="12"/>
    </w:p>
    <w:p w14:paraId="2A88583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spacing w:val="0"/>
          <w:sz w:val="32"/>
          <w:szCs w:val="32"/>
          <w:lang w:eastAsia="zh-CN"/>
        </w:rPr>
      </w:pPr>
      <w:bookmarkStart w:id="13" w:name="bookmark50"/>
      <w:bookmarkEnd w:id="13"/>
      <w:bookmarkStart w:id="14" w:name="_Toc26205"/>
      <w:r>
        <w:rPr>
          <w:rFonts w:hint="eastAsia" w:ascii="楷体" w:hAnsi="楷体" w:eastAsia="楷体" w:cs="楷体"/>
          <w:b w:val="0"/>
          <w:bCs w:val="0"/>
          <w:spacing w:val="0"/>
          <w:sz w:val="32"/>
          <w:szCs w:val="32"/>
          <w:lang w:eastAsia="zh-CN"/>
        </w:rPr>
        <w:t>（一）特种设备事故应急指挥部组成及职责</w:t>
      </w:r>
      <w:bookmarkEnd w:id="14"/>
    </w:p>
    <w:p w14:paraId="7992ADB0">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1.特种设备事故应急指挥部组成</w:t>
      </w:r>
      <w:r>
        <w:rPr>
          <w:rFonts w:hint="eastAsia" w:ascii="仿宋" w:hAnsi="仿宋" w:eastAsia="仿宋" w:cs="仿宋"/>
          <w:b/>
          <w:bCs/>
          <w:spacing w:val="0"/>
          <w:sz w:val="32"/>
          <w:szCs w:val="32"/>
          <w:highlight w:val="none"/>
          <w:lang w:eastAsia="zh-CN"/>
        </w:rPr>
        <w:t>：</w:t>
      </w:r>
    </w:p>
    <w:p w14:paraId="440C191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区政府成立由分管副区长任总指挥、区市场局局长任副总指挥，区市场局、区应急局、区财政局、区卫健局、区住建局、区民政局、向阳公安分局、向阳交警大队等单位为成员的特种设备事故应急指挥部。</w:t>
      </w:r>
    </w:p>
    <w:p w14:paraId="1F2BAB9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向阳区特种设备事故应急指挥部办公室设在区市场局，负责指挥部日常工作。办公室主任由区市场局分管副局长兼任。</w:t>
      </w:r>
    </w:p>
    <w:p w14:paraId="6962EC6A">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2.特种设备事故应急指挥部职责：</w:t>
      </w:r>
    </w:p>
    <w:p w14:paraId="1314849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及时向政府和上级主管部门汇报特种设备安全事故隐患和事故情况，核实现场人员伤亡和财产损失情况，及时汇报抢险救援工作进展情况，组织起草特种设备专项事故应急救援预案，建立有关部门联络协调机制，负责在辖区内发布特种设备事故预警，在出现事故时启动预案，配合市市场局指导特种设备一般事故的应急抢险救援工作，配合市市场局指挥事故发生地现场应急救援，组织事故单位、专业抢险机构和人员进行应急抢险救援工作，配合上级政府及有关部门开展现场应急救援工作；根据现场应急救援工作的需要，指导现场指挥部门组织协调有关应急救援行动，配合市市场局专家提出现场应急救援方案，制定防止事故引发次生灾害的方案，针对事故引发或可能引发的次生灾害，提出防范措施和启动相关应急预案的建议，协助现场指挥部协调事故发生地相邻地区配合、支援救援工作；应急救援工作结束后，负责该项工作的总结、表彰和处罚的建议工作。</w:t>
      </w:r>
    </w:p>
    <w:p w14:paraId="152E4AED">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3.总指挥职责</w:t>
      </w:r>
    </w:p>
    <w:p w14:paraId="2BFD2BE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全面负责指挥特种设备应急救援工作，对应急救援工作中的重大事项作出决策。</w:t>
      </w:r>
    </w:p>
    <w:p w14:paraId="2A8B2E64">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4.副总指挥职责</w:t>
      </w:r>
    </w:p>
    <w:p w14:paraId="387F7F8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（1）配合总指挥开展应急救援工作，及时向总指挥报告重要情况和提出建议。</w:t>
      </w:r>
    </w:p>
    <w:p w14:paraId="0E4B552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（2）组织做好特种设备事故应急预案的编制、修订和实施工作。</w:t>
      </w:r>
    </w:p>
    <w:p w14:paraId="7B0E721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（3）组织相关部门共同做好特种设备事故的预防、应急准备、应急处置等工作。</w:t>
      </w:r>
    </w:p>
    <w:p w14:paraId="743C9E2B">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5.成员单位职责</w:t>
      </w:r>
    </w:p>
    <w:p w14:paraId="548CDD8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区市场局与区应急局、向阳公安分局、区财政局、区卫健局、区住建局、区民政局、向阳交警大队等有关部门和单位建立联络协调机制、统一行动、密切配合。</w:t>
      </w:r>
    </w:p>
    <w:p w14:paraId="3B1B019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各部门</w:t>
      </w:r>
      <w:r>
        <w:rPr>
          <w:rFonts w:hint="eastAsia" w:ascii="仿宋" w:hAnsi="仿宋" w:eastAsia="仿宋" w:cs="仿宋"/>
          <w:b/>
          <w:bCs/>
          <w:color w:val="auto"/>
          <w:spacing w:val="0"/>
          <w:sz w:val="32"/>
          <w:szCs w:val="32"/>
          <w:lang w:val="en-US" w:eastAsia="zh-CN"/>
        </w:rPr>
        <w:t>具体</w:t>
      </w:r>
      <w:r>
        <w:rPr>
          <w:rFonts w:hint="eastAsia" w:ascii="仿宋" w:hAnsi="仿宋" w:eastAsia="仿宋" w:cs="仿宋"/>
          <w:b/>
          <w:bCs/>
          <w:color w:val="auto"/>
          <w:spacing w:val="0"/>
          <w:sz w:val="32"/>
          <w:szCs w:val="32"/>
          <w:lang w:eastAsia="zh-CN"/>
        </w:rPr>
        <w:t>职责如下：</w:t>
      </w:r>
    </w:p>
    <w:p w14:paraId="1618181B">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（1）区市场局：</w:t>
      </w:r>
      <w:r>
        <w:rPr>
          <w:rFonts w:hint="eastAsia" w:ascii="仿宋" w:hAnsi="仿宋" w:eastAsia="仿宋" w:cs="仿宋"/>
          <w:color w:val="auto"/>
          <w:spacing w:val="0"/>
          <w:sz w:val="32"/>
          <w:szCs w:val="32"/>
          <w:lang w:eastAsia="zh-CN"/>
        </w:rPr>
        <w:t>负责配合市市场局协调有关部门参与特种设备一般事故现场应急救援和事故调查工作，负责与市市场监管局协调提供安全技术检验支撑。</w:t>
      </w:r>
    </w:p>
    <w:p w14:paraId="35618406">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（2）区应急局：</w:t>
      </w:r>
      <w:r>
        <w:rPr>
          <w:rFonts w:hint="eastAsia" w:ascii="仿宋" w:hAnsi="仿宋" w:eastAsia="仿宋" w:cs="仿宋"/>
          <w:color w:val="auto"/>
          <w:spacing w:val="0"/>
          <w:sz w:val="32"/>
          <w:szCs w:val="32"/>
          <w:lang w:eastAsia="zh-CN"/>
        </w:rPr>
        <w:t>负责协调危险化学品专家参与特种设备事故现场的危险化学品应急处置工作，参与事故现场的应急救援工作。</w:t>
      </w:r>
    </w:p>
    <w:p w14:paraId="7912A734">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b/>
          <w:bCs/>
          <w:color w:val="auto"/>
          <w:spacing w:val="0"/>
          <w:sz w:val="32"/>
          <w:szCs w:val="32"/>
          <w:highlight w:val="none"/>
          <w:lang w:eastAsia="zh-CN"/>
        </w:rPr>
        <w:t>（3）向阳公安分局：</w:t>
      </w:r>
      <w:r>
        <w:rPr>
          <w:rFonts w:hint="eastAsia" w:ascii="仿宋" w:hAnsi="仿宋" w:eastAsia="仿宋" w:cs="仿宋"/>
          <w:color w:val="auto"/>
          <w:spacing w:val="0"/>
          <w:sz w:val="32"/>
          <w:szCs w:val="32"/>
          <w:highlight w:val="none"/>
          <w:lang w:eastAsia="zh-CN"/>
        </w:rPr>
        <w:t>负责特种设备事故现场的应急治安保障工作。</w:t>
      </w:r>
    </w:p>
    <w:p w14:paraId="5BA56B9A">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（4）区财政局：</w:t>
      </w:r>
      <w:r>
        <w:rPr>
          <w:rFonts w:hint="eastAsia" w:ascii="仿宋" w:hAnsi="仿宋" w:eastAsia="仿宋" w:cs="仿宋"/>
          <w:color w:val="auto"/>
          <w:spacing w:val="0"/>
          <w:sz w:val="32"/>
          <w:szCs w:val="32"/>
          <w:lang w:eastAsia="zh-CN"/>
        </w:rPr>
        <w:t>负责特种设备事故应急救援经费预算、拨付并监督使用。</w:t>
      </w:r>
    </w:p>
    <w:p w14:paraId="741DDA91">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（5）区卫健局：</w:t>
      </w:r>
      <w:r>
        <w:rPr>
          <w:rFonts w:hint="eastAsia" w:ascii="仿宋" w:hAnsi="仿宋" w:eastAsia="仿宋" w:cs="仿宋"/>
          <w:color w:val="auto"/>
          <w:spacing w:val="0"/>
          <w:sz w:val="32"/>
          <w:szCs w:val="32"/>
          <w:lang w:eastAsia="zh-CN"/>
        </w:rPr>
        <w:t>负责特种设备事故应急救援的医疗卫生保障工作。</w:t>
      </w:r>
    </w:p>
    <w:p w14:paraId="3856F4E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（6）区住建局：</w:t>
      </w:r>
      <w:r>
        <w:rPr>
          <w:rFonts w:hint="eastAsia" w:ascii="仿宋" w:hAnsi="仿宋" w:eastAsia="仿宋" w:cs="仿宋"/>
          <w:color w:val="auto"/>
          <w:spacing w:val="0"/>
          <w:sz w:val="32"/>
          <w:szCs w:val="32"/>
          <w:lang w:eastAsia="zh-CN"/>
        </w:rPr>
        <w:t>配合市住建局对属地内房屋建筑工地和市政工程工地起重机械事故的应急救援和善后处置等工作。</w:t>
      </w:r>
    </w:p>
    <w:p w14:paraId="7AFDD7B8">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（7）区民政局：</w:t>
      </w:r>
      <w:r>
        <w:rPr>
          <w:rFonts w:hint="eastAsia" w:ascii="仿宋" w:hAnsi="仿宋" w:eastAsia="仿宋" w:cs="仿宋"/>
          <w:color w:val="auto"/>
          <w:spacing w:val="0"/>
          <w:sz w:val="32"/>
          <w:szCs w:val="32"/>
          <w:lang w:eastAsia="zh-CN"/>
        </w:rPr>
        <w:t>接受社会、个人和国外机构救助，负责捐赠资金、物资的管理。</w:t>
      </w:r>
    </w:p>
    <w:p w14:paraId="7749A89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（8）向阳交警大队：</w:t>
      </w:r>
      <w:r>
        <w:rPr>
          <w:rFonts w:hint="eastAsia" w:ascii="仿宋" w:hAnsi="仿宋" w:eastAsia="仿宋" w:cs="仿宋"/>
          <w:color w:val="auto"/>
          <w:spacing w:val="0"/>
          <w:sz w:val="32"/>
          <w:szCs w:val="32"/>
          <w:lang w:eastAsia="zh-CN"/>
        </w:rPr>
        <w:t>负责事故区域周围的交通管制与疏导，确保救援车辆、救援人员通行。</w:t>
      </w:r>
    </w:p>
    <w:p w14:paraId="5FD4FD9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（9）其他有关部门和单位按照各自职责做好应急救援工作。</w:t>
      </w:r>
    </w:p>
    <w:p w14:paraId="09129E1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6.特种设备事故应急指挥部办公室职责</w:t>
      </w:r>
    </w:p>
    <w:p w14:paraId="2A47D6B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（1）组织建立相关部门和单位之间的联络协调机制。</w:t>
      </w:r>
    </w:p>
    <w:p w14:paraId="2103DAD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（2）研究事故预防、救援措施，制定、修订本预案。</w:t>
      </w:r>
    </w:p>
    <w:p w14:paraId="2BEFD0E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（3）根据事故隐患或者事故发生情况，提出在全区范围内发布特种设备安全预警的建议。</w:t>
      </w:r>
    </w:p>
    <w:p w14:paraId="2A2D595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（4）按照有关规定配合市市场局组织或参与特种设备较大事故的应急救援工作。</w:t>
      </w:r>
    </w:p>
    <w:p w14:paraId="28C89C3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（5）发生较大、重大、特别重大特种设备事故，按程序规定及时报告市、省、国家市场监管部门，由市、省、国家市场监管部门组织协调指挥有关应急救援工作。</w:t>
      </w:r>
    </w:p>
    <w:p w14:paraId="331DECB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spacing w:val="0"/>
          <w:sz w:val="32"/>
          <w:szCs w:val="32"/>
          <w:lang w:eastAsia="zh-CN"/>
        </w:rPr>
      </w:pPr>
      <w:bookmarkStart w:id="15" w:name="bookmark9"/>
      <w:bookmarkEnd w:id="15"/>
      <w:bookmarkStart w:id="16" w:name="_Toc15892"/>
      <w:r>
        <w:rPr>
          <w:rFonts w:hint="eastAsia" w:ascii="楷体" w:hAnsi="楷体" w:eastAsia="楷体" w:cs="楷体"/>
          <w:b w:val="0"/>
          <w:bCs w:val="0"/>
          <w:spacing w:val="0"/>
          <w:sz w:val="32"/>
          <w:szCs w:val="32"/>
          <w:lang w:eastAsia="zh-CN"/>
        </w:rPr>
        <w:t>（二）现场指挥部组成及职责</w:t>
      </w:r>
      <w:bookmarkEnd w:id="16"/>
    </w:p>
    <w:p w14:paraId="1E0F9A5A">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1.现场指挥部组成</w:t>
      </w:r>
    </w:p>
    <w:p w14:paraId="57A12F0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发生特种设备一般事故时，成立由特种设备事故应急指挥部副总指挥任总指挥的现场指挥部，有关部门和单位为成员，根据突发事件的实际情况设置治安保障组、综合协调组、应急救援组、医疗保障组、环境监测组等5个工作组。</w:t>
      </w:r>
    </w:p>
    <w:p w14:paraId="5D972D6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现场指挥部总指挥职责：</w:t>
      </w:r>
    </w:p>
    <w:p w14:paraId="0BB6029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配合市市场局指挥特种设备事故现场应急救援工作，对现场应急救援工作中的重大事项作出决策。</w:t>
      </w:r>
    </w:p>
    <w:p w14:paraId="608F295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2.各工作组职责</w:t>
      </w:r>
    </w:p>
    <w:p w14:paraId="6F319C16">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（1）治安保障组：</w:t>
      </w:r>
      <w:r>
        <w:rPr>
          <w:rFonts w:hint="eastAsia" w:ascii="仿宋" w:hAnsi="仿宋" w:eastAsia="仿宋" w:cs="仿宋"/>
          <w:spacing w:val="0"/>
          <w:sz w:val="32"/>
          <w:szCs w:val="32"/>
          <w:lang w:eastAsia="zh-CN"/>
        </w:rPr>
        <w:t>向阳公安分局负责事故现场的应急治安保障工作。</w:t>
      </w:r>
    </w:p>
    <w:p w14:paraId="5D3DDBA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（2）综合协调组：</w:t>
      </w:r>
      <w:r>
        <w:rPr>
          <w:rFonts w:hint="eastAsia" w:ascii="仿宋" w:hAnsi="仿宋" w:eastAsia="仿宋" w:cs="仿宋"/>
          <w:spacing w:val="0"/>
          <w:sz w:val="32"/>
          <w:szCs w:val="32"/>
          <w:lang w:eastAsia="zh-CN"/>
        </w:rPr>
        <w:t>区市场局、区应急局负责事故现场的综合协调工作。</w:t>
      </w:r>
    </w:p>
    <w:p w14:paraId="2920394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（3）应急救援组：</w:t>
      </w:r>
      <w:r>
        <w:rPr>
          <w:rFonts w:hint="eastAsia" w:ascii="仿宋" w:hAnsi="仿宋" w:eastAsia="仿宋" w:cs="仿宋"/>
          <w:spacing w:val="0"/>
          <w:sz w:val="32"/>
          <w:szCs w:val="32"/>
          <w:lang w:eastAsia="zh-CN"/>
        </w:rPr>
        <w:t>由区应急局、区住建局、向阳交警大队等部门组成。区应急局负责协调危险化学品专家参与特种设备事故现场的危险化学品应急处置工作，参与事故现场的应急救援工作；区住建局负责房屋建筑工地和市政工程工地起重机械事故的应急救援工作；向阳交警大队负责事故区域周围的交通管制与疏导，确保救援车辆、救援人员通行。</w:t>
      </w:r>
    </w:p>
    <w:p w14:paraId="54417D88">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（4）医疗保障组：</w:t>
      </w:r>
      <w:r>
        <w:rPr>
          <w:rFonts w:hint="eastAsia" w:ascii="仿宋" w:hAnsi="仿宋" w:eastAsia="仿宋" w:cs="仿宋"/>
          <w:spacing w:val="0"/>
          <w:sz w:val="32"/>
          <w:szCs w:val="32"/>
          <w:lang w:eastAsia="zh-CN"/>
        </w:rPr>
        <w:t>区卫健局负责事故现场伤员的救治等项工作。</w:t>
      </w:r>
    </w:p>
    <w:p w14:paraId="6F799B1A">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（5）环境监测组：</w:t>
      </w:r>
      <w:r>
        <w:rPr>
          <w:rFonts w:hint="eastAsia" w:ascii="仿宋" w:hAnsi="仿宋" w:eastAsia="仿宋" w:cs="仿宋"/>
          <w:spacing w:val="0"/>
          <w:sz w:val="32"/>
          <w:szCs w:val="32"/>
          <w:lang w:eastAsia="zh-CN"/>
        </w:rPr>
        <w:t>应急指挥部协调市生态环境部门做好事故现场危险化学品泄漏时的环境监测。</w:t>
      </w:r>
    </w:p>
    <w:p w14:paraId="2740265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17" w:name="bookmark10"/>
      <w:bookmarkEnd w:id="17"/>
      <w:bookmarkStart w:id="18" w:name="_Toc25303"/>
      <w:r>
        <w:rPr>
          <w:rFonts w:hint="eastAsia" w:ascii="黑体" w:hAnsi="黑体" w:eastAsia="黑体" w:cs="黑体"/>
          <w:color w:val="auto"/>
          <w:spacing w:val="0"/>
          <w:sz w:val="32"/>
          <w:szCs w:val="32"/>
          <w:lang w:eastAsia="zh-CN"/>
        </w:rPr>
        <w:t>三、风险管控</w:t>
      </w:r>
      <w:bookmarkEnd w:id="18"/>
    </w:p>
    <w:p w14:paraId="630B8EA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向阳区特种设备的安全管理坚持“安全第一、预防为主、节能环保、综合治理”的方针，通过系统性地识别、评估、控制和监控特种设备的潜在风险，最大限度地降低特种设备突发事件发生的可能性及可能造成的损失，变被动应对为主动防范。</w:t>
      </w:r>
    </w:p>
    <w:p w14:paraId="4D6D701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19" w:name="_Toc21701"/>
      <w:r>
        <w:rPr>
          <w:rFonts w:hint="eastAsia" w:ascii="楷体" w:hAnsi="楷体" w:eastAsia="楷体" w:cs="楷体"/>
          <w:b w:val="0"/>
          <w:bCs w:val="0"/>
          <w:color w:val="auto"/>
          <w:spacing w:val="0"/>
          <w:sz w:val="32"/>
          <w:szCs w:val="32"/>
          <w:lang w:eastAsia="zh-CN"/>
        </w:rPr>
        <w:t>（一）风险识别与评估</w:t>
      </w:r>
      <w:bookmarkEnd w:id="19"/>
    </w:p>
    <w:p w14:paraId="7A721C1C">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1.全面风险识别：</w:t>
      </w:r>
      <w:r>
        <w:rPr>
          <w:rFonts w:hint="eastAsia" w:ascii="仿宋" w:hAnsi="仿宋" w:eastAsia="仿宋" w:cs="仿宋"/>
          <w:spacing w:val="0"/>
          <w:sz w:val="32"/>
          <w:szCs w:val="32"/>
          <w:lang w:eastAsia="zh-CN"/>
        </w:rPr>
        <w:t>区政府组织各专项应急指挥部、有关部门和街道办事处，依据本预案总则部分对自然灾害、事故灾难、公共卫生事件和社会安全事件的分析，结合辖区人口、产业、地理、气候等特点，定期开展特种设备全面风险调查。</w:t>
      </w:r>
    </w:p>
    <w:p w14:paraId="06AD64B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2.识别范围：</w:t>
      </w:r>
      <w:r>
        <w:rPr>
          <w:rFonts w:hint="eastAsia" w:ascii="仿宋" w:hAnsi="仿宋" w:eastAsia="仿宋" w:cs="仿宋"/>
          <w:spacing w:val="0"/>
          <w:sz w:val="32"/>
          <w:szCs w:val="32"/>
          <w:lang w:eastAsia="zh-CN"/>
        </w:rPr>
        <w:t>覆盖全区各行业、各领域、所有生产经营单位和社会生活环节，重点针对企业、商业综合体、危险化学品单位、人员密集场所如医院、机关、政府、宾馆、餐饮、居民小区、城市生命线工程（供水、供电、供气、通讯）以及松花江沿岸游乐场所等重点区域和薄弱环节。</w:t>
      </w:r>
    </w:p>
    <w:p w14:paraId="44FEAF8E">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3.识别方法：</w:t>
      </w:r>
      <w:r>
        <w:rPr>
          <w:rFonts w:hint="eastAsia" w:ascii="仿宋" w:hAnsi="仿宋" w:eastAsia="仿宋" w:cs="仿宋"/>
          <w:spacing w:val="0"/>
          <w:sz w:val="32"/>
          <w:szCs w:val="32"/>
          <w:lang w:eastAsia="zh-CN"/>
        </w:rPr>
        <w:t>综合运用特种设备隐患排查、专家检查、舆情分析、案例复盘、公众反映等多种方式，动态更新风险源信息。</w:t>
      </w:r>
    </w:p>
    <w:p w14:paraId="79A1AEF4">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4.科学风险评估：</w:t>
      </w:r>
      <w:r>
        <w:rPr>
          <w:rFonts w:hint="eastAsia" w:ascii="仿宋" w:hAnsi="仿宋" w:eastAsia="仿宋" w:cs="仿宋"/>
          <w:spacing w:val="0"/>
          <w:sz w:val="32"/>
          <w:szCs w:val="32"/>
          <w:lang w:eastAsia="zh-CN"/>
        </w:rPr>
        <w:t>对识别出的特种设备风险进行分析评估，确定风险等级。</w:t>
      </w:r>
    </w:p>
    <w:p w14:paraId="4AC1B4B6">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5.评估标准：</w:t>
      </w:r>
      <w:r>
        <w:rPr>
          <w:rFonts w:hint="eastAsia" w:ascii="仿宋" w:hAnsi="仿宋" w:eastAsia="仿宋" w:cs="仿宋"/>
          <w:spacing w:val="0"/>
          <w:sz w:val="32"/>
          <w:szCs w:val="32"/>
          <w:lang w:eastAsia="zh-CN"/>
        </w:rPr>
        <w:t>采用定性与定量相结合的方法，从事件发生的可能性和后果的严重性两个维度，参照国家和行业标准，对特种设备风险进行综合研判。</w:t>
      </w:r>
    </w:p>
    <w:p w14:paraId="043E7D84">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spacing w:val="0"/>
          <w:sz w:val="32"/>
          <w:szCs w:val="32"/>
          <w:lang w:eastAsia="zh-CN"/>
        </w:rPr>
        <w:t>6.风险分级：</w:t>
      </w:r>
      <w:r>
        <w:rPr>
          <w:rFonts w:hint="eastAsia" w:ascii="仿宋" w:hAnsi="仿宋" w:eastAsia="仿宋" w:cs="仿宋"/>
          <w:spacing w:val="0"/>
          <w:sz w:val="32"/>
          <w:szCs w:val="32"/>
          <w:lang w:eastAsia="zh-CN"/>
        </w:rPr>
        <w:t>根据评估结果，将特种设备风险划分为重大风险、较大风险、</w:t>
      </w:r>
      <w:r>
        <w:rPr>
          <w:rFonts w:hint="eastAsia" w:ascii="仿宋" w:hAnsi="仿宋" w:eastAsia="仿宋" w:cs="仿宋"/>
          <w:color w:val="auto"/>
          <w:spacing w:val="0"/>
          <w:sz w:val="32"/>
          <w:szCs w:val="32"/>
          <w:lang w:eastAsia="zh-CN"/>
        </w:rPr>
        <w:t>一般风险和低风险四个等级，并建立《向阳区特种设备安全风险分类分级清单》，</w:t>
      </w:r>
      <w:r>
        <w:rPr>
          <w:rFonts w:hint="eastAsia" w:ascii="仿宋" w:hAnsi="仿宋" w:eastAsia="仿宋" w:cs="仿宋"/>
          <w:color w:val="auto"/>
          <w:spacing w:val="0"/>
          <w:sz w:val="32"/>
          <w:szCs w:val="32"/>
          <w:lang w:val="en-US" w:eastAsia="zh-CN" w:bidi="zh-CN"/>
        </w:rPr>
        <w:t>分</w:t>
      </w:r>
      <w:r>
        <w:rPr>
          <w:rFonts w:hint="eastAsia" w:ascii="仿宋" w:hAnsi="仿宋" w:eastAsia="仿宋" w:cs="仿宋"/>
          <w:spacing w:val="0"/>
          <w:sz w:val="32"/>
          <w:szCs w:val="32"/>
          <w:lang w:val="en-US" w:eastAsia="zh-CN" w:bidi="zh-CN"/>
        </w:rPr>
        <w:t>类分级清单由行管部门填写，</w:t>
      </w:r>
      <w:r>
        <w:rPr>
          <w:rFonts w:hint="eastAsia" w:ascii="仿宋" w:hAnsi="仿宋" w:eastAsia="仿宋" w:cs="仿宋"/>
          <w:color w:val="auto"/>
          <w:spacing w:val="0"/>
          <w:sz w:val="32"/>
          <w:szCs w:val="32"/>
          <w:lang w:eastAsia="zh-CN"/>
        </w:rPr>
        <w:t>作为精准施策的依据。</w:t>
      </w:r>
    </w:p>
    <w:p w14:paraId="6C61EAC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0" w:name="_Toc29318"/>
      <w:r>
        <w:rPr>
          <w:rFonts w:hint="eastAsia" w:ascii="楷体" w:hAnsi="楷体" w:eastAsia="楷体" w:cs="楷体"/>
          <w:b w:val="0"/>
          <w:bCs w:val="0"/>
          <w:color w:val="auto"/>
          <w:spacing w:val="0"/>
          <w:sz w:val="32"/>
          <w:szCs w:val="32"/>
          <w:lang w:eastAsia="zh-CN"/>
        </w:rPr>
        <w:t>（二）风险控制与治理</w:t>
      </w:r>
      <w:bookmarkEnd w:id="20"/>
    </w:p>
    <w:p w14:paraId="037976A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根据特种设备风险评估结果，实行风险分级管控，采取以下针对性控制措施，优先级从高到低依次为：</w:t>
      </w:r>
    </w:p>
    <w:p w14:paraId="65C9460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1.消除风险：</w:t>
      </w:r>
      <w:r>
        <w:rPr>
          <w:rFonts w:hint="eastAsia" w:ascii="仿宋" w:hAnsi="仿宋" w:eastAsia="仿宋" w:cs="仿宋"/>
          <w:spacing w:val="0"/>
          <w:sz w:val="32"/>
          <w:szCs w:val="32"/>
          <w:lang w:eastAsia="zh-CN"/>
        </w:rPr>
        <w:t>优化城市规划布局和产业政策，从源头上消除特种设备重大风险。对无法消除的重大危险源，鼓励采用先进生产工艺、安全装备进行替代。</w:t>
      </w:r>
    </w:p>
    <w:p w14:paraId="759022DA">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2.技术控制：</w:t>
      </w:r>
      <w:r>
        <w:rPr>
          <w:rFonts w:hint="eastAsia" w:ascii="仿宋" w:hAnsi="仿宋" w:eastAsia="仿宋" w:cs="仿宋"/>
          <w:spacing w:val="0"/>
          <w:sz w:val="32"/>
          <w:szCs w:val="32"/>
          <w:lang w:eastAsia="zh-CN"/>
        </w:rPr>
        <w:t>在重点单位、重点场所和重要设施中，加强特种设备安全设施建设，如安装安全监控报警装置、抗震加固结构、定期检验、人员资格管理等，提升防范水平。</w:t>
      </w:r>
    </w:p>
    <w:p w14:paraId="3595FAC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3.管理控制：</w:t>
      </w:r>
      <w:r>
        <w:rPr>
          <w:rFonts w:hint="eastAsia" w:ascii="仿宋" w:hAnsi="仿宋" w:eastAsia="仿宋" w:cs="仿宋"/>
          <w:spacing w:val="0"/>
          <w:sz w:val="32"/>
          <w:szCs w:val="32"/>
          <w:lang w:eastAsia="zh-CN"/>
        </w:rPr>
        <w:t>各行业主管部门、企事业单位和基层组织应建立健全特种设备安全管理制度、操作规程和应急预案。</w:t>
      </w:r>
    </w:p>
    <w:p w14:paraId="55C1BE2A">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spacing w:val="0"/>
          <w:sz w:val="32"/>
          <w:szCs w:val="32"/>
          <w:lang w:eastAsia="zh-CN"/>
        </w:rPr>
        <w:t>4.分级负责：</w:t>
      </w:r>
      <w:r>
        <w:rPr>
          <w:rFonts w:hint="eastAsia" w:ascii="仿宋" w:hAnsi="仿宋" w:eastAsia="仿宋" w:cs="仿宋"/>
          <w:spacing w:val="0"/>
          <w:sz w:val="32"/>
          <w:szCs w:val="32"/>
          <w:lang w:eastAsia="zh-CN"/>
        </w:rPr>
        <w:t>落实属地管理和行业监管责任。重大风险由区政府</w:t>
      </w:r>
      <w:r>
        <w:rPr>
          <w:rFonts w:hint="eastAsia" w:ascii="仿宋" w:hAnsi="仿宋" w:eastAsia="仿宋" w:cs="仿宋"/>
          <w:color w:val="auto"/>
          <w:spacing w:val="0"/>
          <w:sz w:val="32"/>
          <w:szCs w:val="32"/>
          <w:lang w:eastAsia="zh-CN"/>
        </w:rPr>
        <w:t>和区行业主管部门重点管控；较大及一般风险由各街道办事处和相关部门负责监管；企事业单位落实主体责任，管控本单位特种设备风险。</w:t>
      </w:r>
    </w:p>
    <w:p w14:paraId="04A93B5C">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5.隐患排查：</w:t>
      </w:r>
      <w:r>
        <w:rPr>
          <w:rFonts w:hint="eastAsia" w:ascii="仿宋" w:hAnsi="仿宋" w:eastAsia="仿宋" w:cs="仿宋"/>
          <w:color w:val="auto"/>
          <w:spacing w:val="0"/>
          <w:sz w:val="32"/>
          <w:szCs w:val="32"/>
          <w:lang w:eastAsia="zh-CN"/>
        </w:rPr>
        <w:t>建立常态化特种设备隐患排查治理机制，对发现的隐患建立台账，明确责任，限期整改，实现闭环管理。</w:t>
      </w:r>
    </w:p>
    <w:p w14:paraId="6B56F3B0">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6.应急准备：</w:t>
      </w:r>
      <w:r>
        <w:rPr>
          <w:rFonts w:hint="eastAsia" w:ascii="仿宋" w:hAnsi="仿宋" w:eastAsia="仿宋" w:cs="仿宋"/>
          <w:color w:val="auto"/>
          <w:spacing w:val="0"/>
          <w:sz w:val="32"/>
          <w:szCs w:val="32"/>
          <w:lang w:eastAsia="zh-CN"/>
        </w:rPr>
        <w:t>对于无法彻底消除的风险，通过编制特种设备应急预案、储备应急物资、加强应急演练、建设应急队伍等措施，做好应急准备，降低事件发生后的损失。</w:t>
      </w:r>
    </w:p>
    <w:p w14:paraId="01CF9AC8">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 w:hAnsi="仿宋" w:eastAsia="仿宋" w:cs="仿宋"/>
          <w:b/>
          <w:bCs/>
          <w:color w:val="auto"/>
          <w:spacing w:val="0"/>
          <w:sz w:val="32"/>
          <w:szCs w:val="32"/>
          <w:lang w:eastAsia="zh-CN"/>
        </w:rPr>
        <w:t>7.宣传与培训：</w:t>
      </w:r>
      <w:r>
        <w:rPr>
          <w:rFonts w:hint="eastAsia" w:ascii="仿宋" w:hAnsi="仿宋" w:eastAsia="仿宋" w:cs="仿宋"/>
          <w:color w:val="auto"/>
          <w:spacing w:val="0"/>
          <w:sz w:val="32"/>
          <w:szCs w:val="32"/>
          <w:lang w:eastAsia="zh-CN"/>
        </w:rPr>
        <w:t>加强公共安全宣传教育，普及风险防范、避险逃生、自救互救知识和技能，增强全社会风险意识和应对能力。</w:t>
      </w:r>
    </w:p>
    <w:p w14:paraId="1471973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1" w:name="_Toc16917"/>
      <w:r>
        <w:rPr>
          <w:rFonts w:hint="eastAsia" w:ascii="楷体" w:hAnsi="楷体" w:eastAsia="楷体" w:cs="楷体"/>
          <w:b w:val="0"/>
          <w:bCs w:val="0"/>
          <w:color w:val="auto"/>
          <w:spacing w:val="0"/>
          <w:sz w:val="32"/>
          <w:szCs w:val="32"/>
          <w:lang w:eastAsia="zh-CN"/>
        </w:rPr>
        <w:t>（三）监控与更新</w:t>
      </w:r>
      <w:bookmarkEnd w:id="21"/>
    </w:p>
    <w:p w14:paraId="64C3DBEC">
      <w:pPr>
        <w:keepNext w:val="0"/>
        <w:keepLines w:val="0"/>
        <w:pageBreakBefore w:val="0"/>
        <w:widowControl w:val="0"/>
        <w:kinsoku/>
        <w:wordWrap/>
        <w:overflowPunct/>
        <w:topLinePunct w:val="0"/>
        <w:autoSpaceDE w:val="0"/>
        <w:autoSpaceDN w:val="0"/>
        <w:bidi w:val="0"/>
        <w:adjustRightInd w:val="0"/>
        <w:snapToGrid w:val="0"/>
        <w:spacing w:line="560" w:lineRule="exact"/>
        <w:ind w:firstLine="602" w:firstLineChars="200"/>
        <w:jc w:val="both"/>
        <w:textAlignment w:val="baseline"/>
        <w:rPr>
          <w:rFonts w:hint="eastAsia" w:ascii="仿宋" w:hAnsi="仿宋" w:eastAsia="仿宋" w:cs="仿宋"/>
          <w:color w:val="auto"/>
          <w:spacing w:val="0"/>
          <w:sz w:val="30"/>
          <w:szCs w:val="30"/>
          <w:lang w:eastAsia="zh-CN"/>
        </w:rPr>
      </w:pPr>
      <w:r>
        <w:rPr>
          <w:rFonts w:hint="eastAsia" w:ascii="仿宋" w:hAnsi="仿宋" w:eastAsia="仿宋" w:cs="仿宋"/>
          <w:b/>
          <w:bCs/>
          <w:color w:val="auto"/>
          <w:spacing w:val="0"/>
          <w:sz w:val="30"/>
          <w:szCs w:val="30"/>
          <w:lang w:eastAsia="zh-CN"/>
        </w:rPr>
        <w:t>1.动态监测：</w:t>
      </w:r>
      <w:r>
        <w:rPr>
          <w:rFonts w:hint="eastAsia" w:ascii="仿宋" w:hAnsi="仿宋" w:eastAsia="仿宋" w:cs="仿宋"/>
          <w:color w:val="auto"/>
          <w:spacing w:val="0"/>
          <w:sz w:val="30"/>
          <w:szCs w:val="30"/>
          <w:lang w:eastAsia="zh-CN"/>
        </w:rPr>
        <w:t>利用物联网、大数据等现代信息技术，对特种设备重大风险和重点危险源进行动态监测和跟踪。各有关部门和街道办事处应定期对职责范围内的风险管控措施落实情况进行监督检查。</w:t>
      </w:r>
    </w:p>
    <w:p w14:paraId="48D8D8A2">
      <w:pPr>
        <w:keepNext w:val="0"/>
        <w:keepLines w:val="0"/>
        <w:pageBreakBefore w:val="0"/>
        <w:widowControl w:val="0"/>
        <w:kinsoku/>
        <w:wordWrap/>
        <w:overflowPunct/>
        <w:topLinePunct w:val="0"/>
        <w:autoSpaceDE w:val="0"/>
        <w:autoSpaceDN w:val="0"/>
        <w:bidi w:val="0"/>
        <w:adjustRightInd w:val="0"/>
        <w:snapToGrid w:val="0"/>
        <w:spacing w:line="560" w:lineRule="exact"/>
        <w:ind w:firstLine="602" w:firstLineChars="200"/>
        <w:jc w:val="both"/>
        <w:textAlignment w:val="baseline"/>
        <w:rPr>
          <w:rFonts w:hint="eastAsia" w:ascii="仿宋" w:hAnsi="仿宋" w:eastAsia="仿宋" w:cs="仿宋"/>
          <w:color w:val="auto"/>
          <w:spacing w:val="0"/>
          <w:sz w:val="30"/>
          <w:szCs w:val="30"/>
          <w:lang w:eastAsia="zh-CN"/>
        </w:rPr>
      </w:pPr>
      <w:r>
        <w:rPr>
          <w:rFonts w:hint="eastAsia" w:ascii="仿宋" w:hAnsi="仿宋" w:eastAsia="仿宋" w:cs="仿宋"/>
          <w:b/>
          <w:bCs/>
          <w:color w:val="auto"/>
          <w:spacing w:val="0"/>
          <w:sz w:val="30"/>
          <w:szCs w:val="30"/>
          <w:lang w:eastAsia="zh-CN"/>
        </w:rPr>
        <w:t>2.定期评审：</w:t>
      </w:r>
      <w:r>
        <w:rPr>
          <w:rFonts w:hint="eastAsia" w:ascii="仿宋" w:hAnsi="仿宋" w:eastAsia="仿宋" w:cs="仿宋"/>
          <w:color w:val="auto"/>
          <w:spacing w:val="0"/>
          <w:sz w:val="30"/>
          <w:szCs w:val="30"/>
          <w:lang w:eastAsia="zh-CN"/>
        </w:rPr>
        <w:t>建立特种设备风险动态评估机制。区政府定期组织全区风险形势分析会商。当出现法律法规变化、城市规划调整、产业结构升级、重要设施建设等情形时，应及时组织重新评估，更新风险清单与管控措施。</w:t>
      </w:r>
    </w:p>
    <w:p w14:paraId="41FB87E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22" w:name="bookmark11"/>
      <w:bookmarkEnd w:id="22"/>
      <w:bookmarkStart w:id="23" w:name="_Toc3746"/>
      <w:r>
        <w:rPr>
          <w:rFonts w:hint="eastAsia" w:ascii="黑体" w:hAnsi="黑体" w:eastAsia="黑体" w:cs="黑体"/>
          <w:color w:val="auto"/>
          <w:spacing w:val="0"/>
          <w:sz w:val="32"/>
          <w:szCs w:val="32"/>
          <w:lang w:eastAsia="zh-CN"/>
        </w:rPr>
        <w:t>四、事故分级</w:t>
      </w:r>
      <w:bookmarkEnd w:id="23"/>
    </w:p>
    <w:p w14:paraId="6999ACF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特种设备事故分为四级：一般事故（Ⅳ级）、较大事故（Ⅲ级）、重大事故（Ⅱ级）、特别重大事故（I级）。</w:t>
      </w:r>
    </w:p>
    <w:p w14:paraId="478C755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4" w:name="bookmark12"/>
      <w:bookmarkEnd w:id="24"/>
      <w:bookmarkStart w:id="25" w:name="_Toc5690"/>
      <w:r>
        <w:rPr>
          <w:rFonts w:hint="eastAsia" w:ascii="楷体" w:hAnsi="楷体" w:eastAsia="楷体" w:cs="楷体"/>
          <w:b w:val="0"/>
          <w:bCs w:val="0"/>
          <w:color w:val="auto"/>
          <w:spacing w:val="0"/>
          <w:sz w:val="32"/>
          <w:szCs w:val="32"/>
          <w:lang w:eastAsia="zh-CN"/>
        </w:rPr>
        <w:t>（一）特别重大事故（</w:t>
      </w:r>
      <w:r>
        <w:rPr>
          <w:rFonts w:hint="eastAsia" w:ascii="仿宋" w:hAnsi="仿宋" w:eastAsia="仿宋" w:cs="仿宋"/>
          <w:b w:val="0"/>
          <w:bCs w:val="0"/>
          <w:color w:val="auto"/>
          <w:spacing w:val="0"/>
          <w:sz w:val="32"/>
          <w:szCs w:val="32"/>
          <w:lang w:eastAsia="zh-CN"/>
        </w:rPr>
        <w:t>I</w:t>
      </w:r>
      <w:r>
        <w:rPr>
          <w:rFonts w:hint="eastAsia" w:ascii="楷体" w:hAnsi="楷体" w:eastAsia="楷体" w:cs="楷体"/>
          <w:b w:val="0"/>
          <w:bCs w:val="0"/>
          <w:color w:val="auto"/>
          <w:spacing w:val="0"/>
          <w:sz w:val="32"/>
          <w:szCs w:val="32"/>
          <w:lang w:eastAsia="zh-CN"/>
        </w:rPr>
        <w:t>级）</w:t>
      </w:r>
      <w:bookmarkEnd w:id="25"/>
    </w:p>
    <w:p w14:paraId="727E51A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highlight w:val="none"/>
          <w:lang w:eastAsia="zh-CN"/>
        </w:rPr>
      </w:pPr>
      <w:r>
        <w:rPr>
          <w:rFonts w:hint="eastAsia" w:ascii="仿宋" w:hAnsi="仿宋" w:eastAsia="仿宋" w:cs="仿宋"/>
          <w:b/>
          <w:bCs/>
          <w:color w:val="auto"/>
          <w:spacing w:val="0"/>
          <w:sz w:val="32"/>
          <w:szCs w:val="32"/>
          <w:highlight w:val="none"/>
          <w:lang w:eastAsia="zh-CN"/>
        </w:rPr>
        <w:t>特别重大事故（Ⅰ级）是指有下列情况之一的特种设备事故：</w:t>
      </w:r>
    </w:p>
    <w:p w14:paraId="3243D1E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特种设备事故造成30人以上死亡，或者100人以上重伤（包括急性工业中毒，下同），或者1亿元以上直接经济损失的；</w:t>
      </w:r>
    </w:p>
    <w:p w14:paraId="730EBB8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600兆瓦以上锅炉爆炸的；</w:t>
      </w:r>
    </w:p>
    <w:p w14:paraId="173DC1E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压力容器、压力管道有毒介质泄漏，造成15万人以上转移的；</w:t>
      </w:r>
    </w:p>
    <w:p w14:paraId="37447EE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val="en-US" w:eastAsia="zh-CN"/>
        </w:rPr>
        <w:t>4.</w:t>
      </w:r>
      <w:r>
        <w:rPr>
          <w:rFonts w:hint="eastAsia" w:ascii="仿宋" w:hAnsi="仿宋" w:eastAsia="仿宋" w:cs="仿宋"/>
          <w:b w:val="0"/>
          <w:bCs w:val="0"/>
          <w:color w:val="auto"/>
          <w:spacing w:val="0"/>
          <w:sz w:val="32"/>
          <w:szCs w:val="32"/>
          <w:lang w:eastAsia="zh-CN"/>
        </w:rPr>
        <w:t>客运索道、大型游乐设施高空滞留100人以上并且时间在48小时以上的。</w:t>
      </w:r>
    </w:p>
    <w:p w14:paraId="59C44DE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6" w:name="bookmark13"/>
      <w:bookmarkEnd w:id="26"/>
      <w:bookmarkStart w:id="27" w:name="_Toc6887"/>
      <w:r>
        <w:rPr>
          <w:rFonts w:hint="eastAsia" w:ascii="楷体" w:hAnsi="楷体" w:eastAsia="楷体" w:cs="楷体"/>
          <w:b w:val="0"/>
          <w:bCs w:val="0"/>
          <w:color w:val="auto"/>
          <w:spacing w:val="0"/>
          <w:sz w:val="32"/>
          <w:szCs w:val="32"/>
          <w:lang w:eastAsia="zh-CN"/>
        </w:rPr>
        <w:t>（二）重大事故（</w:t>
      </w:r>
      <w:r>
        <w:rPr>
          <w:rFonts w:hint="eastAsia" w:ascii="仿宋" w:hAnsi="仿宋" w:eastAsia="仿宋" w:cs="仿宋"/>
          <w:b w:val="0"/>
          <w:bCs w:val="0"/>
          <w:color w:val="auto"/>
          <w:spacing w:val="0"/>
          <w:sz w:val="32"/>
          <w:szCs w:val="32"/>
          <w:lang w:eastAsia="zh-CN"/>
        </w:rPr>
        <w:t>Ⅱ</w:t>
      </w:r>
      <w:r>
        <w:rPr>
          <w:rFonts w:hint="eastAsia" w:ascii="楷体" w:hAnsi="楷体" w:eastAsia="楷体" w:cs="楷体"/>
          <w:b w:val="0"/>
          <w:bCs w:val="0"/>
          <w:color w:val="auto"/>
          <w:spacing w:val="0"/>
          <w:sz w:val="32"/>
          <w:szCs w:val="32"/>
          <w:lang w:eastAsia="zh-CN"/>
        </w:rPr>
        <w:t>级）</w:t>
      </w:r>
      <w:bookmarkEnd w:id="27"/>
    </w:p>
    <w:p w14:paraId="5AEDCB1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highlight w:val="none"/>
          <w:lang w:eastAsia="zh-CN"/>
        </w:rPr>
      </w:pPr>
      <w:r>
        <w:rPr>
          <w:rFonts w:hint="eastAsia" w:ascii="仿宋" w:hAnsi="仿宋" w:eastAsia="仿宋" w:cs="仿宋"/>
          <w:b/>
          <w:bCs/>
          <w:color w:val="auto"/>
          <w:spacing w:val="0"/>
          <w:sz w:val="32"/>
          <w:szCs w:val="32"/>
          <w:highlight w:val="none"/>
          <w:lang w:eastAsia="zh-CN"/>
        </w:rPr>
        <w:t>重大事故（Ⅱ级）是指有下列情况之一的特种设备事故：</w:t>
      </w:r>
    </w:p>
    <w:p w14:paraId="6F96382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1.特种设备事故造成10人以上30人以下死亡，或者50人以上100人以下重伤，或者5000万元以上1亿元以下直接经济损失的；</w:t>
      </w:r>
    </w:p>
    <w:p w14:paraId="70F6275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2.600兆瓦以上锅炉因安全故障中断运行240小时以上的；</w:t>
      </w:r>
    </w:p>
    <w:p w14:paraId="2E4FD40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3.压力容器、压力管道有毒介质泄漏，造成5万人以上15万人以下转移的；</w:t>
      </w:r>
    </w:p>
    <w:p w14:paraId="4784E20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4.客运索道、大型游乐设施高空滞留100人以上并且时间在24小时以上48小时以下的。</w:t>
      </w:r>
    </w:p>
    <w:p w14:paraId="4FE04B8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8" w:name="bookmark14"/>
      <w:bookmarkEnd w:id="28"/>
      <w:bookmarkStart w:id="29" w:name="_Toc20726"/>
      <w:r>
        <w:rPr>
          <w:rFonts w:hint="eastAsia" w:ascii="楷体" w:hAnsi="楷体" w:eastAsia="楷体" w:cs="楷体"/>
          <w:b w:val="0"/>
          <w:bCs w:val="0"/>
          <w:color w:val="auto"/>
          <w:spacing w:val="0"/>
          <w:sz w:val="32"/>
          <w:szCs w:val="32"/>
          <w:lang w:eastAsia="zh-CN"/>
        </w:rPr>
        <w:t>（三）较大事故（Ⅲ级）</w:t>
      </w:r>
      <w:bookmarkEnd w:id="29"/>
    </w:p>
    <w:p w14:paraId="6ABE9F8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highlight w:val="none"/>
          <w:lang w:eastAsia="zh-CN"/>
        </w:rPr>
      </w:pPr>
      <w:r>
        <w:rPr>
          <w:rFonts w:hint="eastAsia" w:ascii="仿宋" w:hAnsi="仿宋" w:eastAsia="仿宋" w:cs="仿宋"/>
          <w:b/>
          <w:bCs/>
          <w:color w:val="auto"/>
          <w:spacing w:val="0"/>
          <w:sz w:val="32"/>
          <w:szCs w:val="32"/>
          <w:highlight w:val="none"/>
          <w:lang w:eastAsia="zh-CN"/>
        </w:rPr>
        <w:t>较大事故（Ⅲ级）是指有下列情况之一的特种设备事故：</w:t>
      </w:r>
    </w:p>
    <w:p w14:paraId="2DFC142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1.特种设备事故造成3人以上10人以下死亡，或者10人以上50人以下重伤，或者1000万元以上5000万元以下直接经济损失的；</w:t>
      </w:r>
    </w:p>
    <w:p w14:paraId="3A9E08E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2.锅炉、压力容器、压力管道爆炸的；</w:t>
      </w:r>
    </w:p>
    <w:p w14:paraId="5BC7DBC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3.压力容器、压力管道有毒介质泄漏，造成1万人以上5万人以下转移的；</w:t>
      </w:r>
    </w:p>
    <w:p w14:paraId="1D486AE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4.起重机械整体倾覆的；</w:t>
      </w:r>
    </w:p>
    <w:p w14:paraId="7E398CB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5.客运索道、大型游乐设施高空滞留人员12小时以上的。</w:t>
      </w:r>
    </w:p>
    <w:p w14:paraId="00D8F55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30" w:name="bookmark15"/>
      <w:bookmarkEnd w:id="30"/>
      <w:bookmarkStart w:id="31" w:name="_Toc24370"/>
      <w:r>
        <w:rPr>
          <w:rFonts w:hint="eastAsia" w:ascii="楷体" w:hAnsi="楷体" w:eastAsia="楷体" w:cs="楷体"/>
          <w:b w:val="0"/>
          <w:bCs w:val="0"/>
          <w:color w:val="auto"/>
          <w:spacing w:val="0"/>
          <w:sz w:val="32"/>
          <w:szCs w:val="32"/>
          <w:lang w:eastAsia="zh-CN"/>
        </w:rPr>
        <w:t>（四）一般事故（Ⅳ级）</w:t>
      </w:r>
      <w:bookmarkEnd w:id="31"/>
    </w:p>
    <w:p w14:paraId="1E48095B">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highlight w:val="none"/>
          <w:lang w:eastAsia="zh-CN"/>
        </w:rPr>
      </w:pPr>
      <w:r>
        <w:rPr>
          <w:rFonts w:hint="eastAsia" w:ascii="仿宋" w:hAnsi="仿宋" w:eastAsia="仿宋" w:cs="仿宋"/>
          <w:b/>
          <w:bCs/>
          <w:color w:val="auto"/>
          <w:spacing w:val="0"/>
          <w:sz w:val="32"/>
          <w:szCs w:val="32"/>
          <w:highlight w:val="none"/>
          <w:lang w:eastAsia="zh-CN"/>
        </w:rPr>
        <w:t>一般事故（Ⅳ级）是指有下列情况之一的特种设备事故：</w:t>
      </w:r>
    </w:p>
    <w:p w14:paraId="4C9BB53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1.特种设备事故造成3人以下死亡，或者10人以下重伤，或者1万元以上1000万元以下直接经济损失的；</w:t>
      </w:r>
    </w:p>
    <w:p w14:paraId="0C84A79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2.压力容器、压力管道有毒介质泄漏，造成500人以上1万人以下转移的；</w:t>
      </w:r>
    </w:p>
    <w:p w14:paraId="581DED1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3.电梯轿厢滞留人员2小时以上的；</w:t>
      </w:r>
    </w:p>
    <w:p w14:paraId="0F1EB0F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4.起重机械主要受力结构件折断或者起升机构坠落的；</w:t>
      </w:r>
    </w:p>
    <w:p w14:paraId="2778442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5.客运索道高空滞留人员3.5小时以上12小时以下的；</w:t>
      </w:r>
    </w:p>
    <w:p w14:paraId="4BDC7EF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6.大型游乐设施高空滞留人员1小时以上12小时以下的；</w:t>
      </w:r>
    </w:p>
    <w:p w14:paraId="6500876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7.除前款规定外，国务院特种设备安全监督管理部门对一般事故的其他情形作出补充规定。</w:t>
      </w:r>
    </w:p>
    <w:p w14:paraId="6058406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32" w:name="bookmark16"/>
      <w:bookmarkEnd w:id="32"/>
      <w:bookmarkStart w:id="33" w:name="bookmark17"/>
      <w:bookmarkEnd w:id="33"/>
      <w:bookmarkStart w:id="34" w:name="_Toc27953"/>
      <w:r>
        <w:rPr>
          <w:rFonts w:hint="eastAsia" w:ascii="黑体" w:hAnsi="黑体" w:eastAsia="黑体" w:cs="黑体"/>
          <w:color w:val="auto"/>
          <w:spacing w:val="0"/>
          <w:sz w:val="32"/>
          <w:szCs w:val="32"/>
          <w:lang w:eastAsia="zh-CN"/>
        </w:rPr>
        <w:t>五、预警和预防机制</w:t>
      </w:r>
      <w:bookmarkEnd w:id="34"/>
    </w:p>
    <w:p w14:paraId="34ACA20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bookmarkStart w:id="35" w:name="bookmark51"/>
      <w:bookmarkEnd w:id="35"/>
      <w:r>
        <w:rPr>
          <w:rFonts w:hint="eastAsia" w:ascii="仿宋" w:hAnsi="仿宋" w:eastAsia="仿宋" w:cs="仿宋"/>
          <w:color w:val="auto"/>
          <w:spacing w:val="0"/>
          <w:sz w:val="32"/>
          <w:szCs w:val="32"/>
          <w:lang w:eastAsia="zh-CN"/>
        </w:rPr>
        <w:t>当确认发生或即将发生以下事故时，特种设备事故应急指挥部应当做好启动本预案的准备：</w:t>
      </w:r>
    </w:p>
    <w:p w14:paraId="5DD0361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1.化工企业爆炸、停电、火灾、泄漏事故；</w:t>
      </w:r>
    </w:p>
    <w:p w14:paraId="17B6F00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2.地震；</w:t>
      </w:r>
    </w:p>
    <w:p w14:paraId="602261A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3.大型游乐设施停电、火灾事故；</w:t>
      </w:r>
    </w:p>
    <w:p w14:paraId="2209373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4.暴雨（雪）、大风（沙尘暴）、雷电等气象灾害；</w:t>
      </w:r>
    </w:p>
    <w:p w14:paraId="5697C98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5.其他可能引起特种设备事故的灾害性事故。</w:t>
      </w:r>
    </w:p>
    <w:p w14:paraId="181B927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 w:hAnsi="仿宋" w:eastAsia="仿宋" w:cs="仿宋"/>
          <w:color w:val="auto"/>
          <w:spacing w:val="0"/>
          <w:sz w:val="32"/>
          <w:szCs w:val="32"/>
          <w:lang w:eastAsia="zh-CN"/>
        </w:rPr>
        <w:t>区政府接到可能导致特种设备事故的信息后，及时确定应对方案，通知有关部门、单位采取相应行动预防事故发生，并按照预案做好应急准备，同时报告市政府、市市场监管局。</w:t>
      </w:r>
    </w:p>
    <w:p w14:paraId="74CDD4A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36" w:name="bookmark19"/>
      <w:bookmarkEnd w:id="36"/>
      <w:bookmarkStart w:id="37" w:name="_Toc31565"/>
      <w:r>
        <w:rPr>
          <w:rFonts w:hint="eastAsia" w:ascii="黑体" w:hAnsi="黑体" w:eastAsia="黑体" w:cs="黑体"/>
          <w:color w:val="auto"/>
          <w:spacing w:val="0"/>
          <w:sz w:val="32"/>
          <w:szCs w:val="32"/>
          <w:lang w:eastAsia="zh-CN"/>
        </w:rPr>
        <w:t>六、应急响应</w:t>
      </w:r>
      <w:bookmarkEnd w:id="37"/>
    </w:p>
    <w:p w14:paraId="1765436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根据特种设备事故级别，应急响应分为Ⅰ级、Ⅱ级、Ⅲ级、Ⅳ级。根据应急响应的级别，启动相应的应急预案。</w:t>
      </w:r>
    </w:p>
    <w:p w14:paraId="22D7636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38" w:name="bookmark20"/>
      <w:bookmarkEnd w:id="38"/>
      <w:bookmarkStart w:id="39" w:name="_Toc16930"/>
      <w:r>
        <w:rPr>
          <w:rFonts w:hint="eastAsia" w:ascii="楷体" w:hAnsi="楷体" w:eastAsia="楷体" w:cs="楷体"/>
          <w:b w:val="0"/>
          <w:bCs w:val="0"/>
          <w:color w:val="auto"/>
          <w:spacing w:val="0"/>
          <w:sz w:val="32"/>
          <w:szCs w:val="32"/>
          <w:lang w:eastAsia="zh-CN"/>
        </w:rPr>
        <w:t>（一）Ⅰ级响应</w:t>
      </w:r>
      <w:bookmarkEnd w:id="39"/>
    </w:p>
    <w:p w14:paraId="3C0DBEA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启动条件：</w:t>
      </w:r>
      <w:r>
        <w:rPr>
          <w:rFonts w:hint="eastAsia" w:ascii="仿宋" w:hAnsi="仿宋" w:eastAsia="仿宋" w:cs="仿宋"/>
          <w:b w:val="0"/>
          <w:bCs w:val="0"/>
          <w:color w:val="auto"/>
          <w:spacing w:val="0"/>
          <w:sz w:val="32"/>
          <w:szCs w:val="32"/>
          <w:lang w:eastAsia="zh-CN"/>
        </w:rPr>
        <w:t>发生特种设备特别重大事故。</w:t>
      </w:r>
    </w:p>
    <w:p w14:paraId="76583B7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响应措施：</w:t>
      </w:r>
      <w:r>
        <w:rPr>
          <w:rFonts w:hint="eastAsia" w:ascii="仿宋" w:hAnsi="仿宋" w:eastAsia="仿宋" w:cs="仿宋"/>
          <w:b w:val="0"/>
          <w:bCs w:val="0"/>
          <w:color w:val="auto"/>
          <w:spacing w:val="0"/>
          <w:sz w:val="32"/>
          <w:szCs w:val="32"/>
          <w:lang w:eastAsia="zh-CN"/>
        </w:rPr>
        <w:t>在国务院的领导下，省政府会同国家有关部门，统一组织协调，调动全省资源和力量，进行紧急处置。</w:t>
      </w:r>
    </w:p>
    <w:p w14:paraId="31EE883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40" w:name="bookmark21"/>
      <w:bookmarkEnd w:id="40"/>
      <w:bookmarkStart w:id="41" w:name="_Toc3543"/>
      <w:r>
        <w:rPr>
          <w:rFonts w:hint="eastAsia" w:ascii="楷体" w:hAnsi="楷体" w:eastAsia="楷体" w:cs="楷体"/>
          <w:b w:val="0"/>
          <w:bCs w:val="0"/>
          <w:color w:val="auto"/>
          <w:spacing w:val="0"/>
          <w:sz w:val="32"/>
          <w:szCs w:val="32"/>
          <w:lang w:eastAsia="zh-CN"/>
        </w:rPr>
        <w:t>（二）Ⅱ级响应</w:t>
      </w:r>
      <w:bookmarkEnd w:id="41"/>
    </w:p>
    <w:p w14:paraId="26ED92F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启动条件：</w:t>
      </w:r>
      <w:r>
        <w:rPr>
          <w:rFonts w:hint="eastAsia" w:ascii="仿宋" w:hAnsi="仿宋" w:eastAsia="仿宋" w:cs="仿宋"/>
          <w:b w:val="0"/>
          <w:bCs w:val="0"/>
          <w:color w:val="auto"/>
          <w:spacing w:val="0"/>
          <w:sz w:val="32"/>
          <w:szCs w:val="32"/>
          <w:lang w:eastAsia="zh-CN"/>
        </w:rPr>
        <w:t>发生特种设备重大事故。</w:t>
      </w:r>
    </w:p>
    <w:p w14:paraId="032B921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响应措施：</w:t>
      </w:r>
      <w:r>
        <w:rPr>
          <w:rFonts w:hint="eastAsia" w:ascii="仿宋" w:hAnsi="仿宋" w:eastAsia="仿宋" w:cs="仿宋"/>
          <w:b w:val="0"/>
          <w:bCs w:val="0"/>
          <w:color w:val="auto"/>
          <w:spacing w:val="0"/>
          <w:sz w:val="32"/>
          <w:szCs w:val="32"/>
          <w:lang w:eastAsia="zh-CN"/>
        </w:rPr>
        <w:t>省特种设备应急指挥部会同国家市场监督管理总局等有关部门，组织调度省有关部门和市、区级政府的资源和力量进行紧急处置。</w:t>
      </w:r>
    </w:p>
    <w:p w14:paraId="398FD14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42" w:name="bookmark22"/>
      <w:bookmarkEnd w:id="42"/>
      <w:bookmarkStart w:id="43" w:name="_Toc12043"/>
      <w:r>
        <w:rPr>
          <w:rFonts w:hint="eastAsia" w:ascii="楷体" w:hAnsi="楷体" w:eastAsia="楷体" w:cs="楷体"/>
          <w:b w:val="0"/>
          <w:bCs w:val="0"/>
          <w:color w:val="auto"/>
          <w:spacing w:val="0"/>
          <w:sz w:val="32"/>
          <w:szCs w:val="32"/>
          <w:lang w:eastAsia="zh-CN"/>
        </w:rPr>
        <w:t>（三）Ⅲ级响应</w:t>
      </w:r>
      <w:bookmarkEnd w:id="43"/>
    </w:p>
    <w:p w14:paraId="5D5C334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启动条件：</w:t>
      </w:r>
      <w:r>
        <w:rPr>
          <w:rFonts w:hint="eastAsia" w:ascii="仿宋" w:hAnsi="仿宋" w:eastAsia="仿宋" w:cs="仿宋"/>
          <w:b w:val="0"/>
          <w:bCs w:val="0"/>
          <w:color w:val="auto"/>
          <w:spacing w:val="0"/>
          <w:sz w:val="32"/>
          <w:szCs w:val="32"/>
          <w:lang w:eastAsia="zh-CN"/>
        </w:rPr>
        <w:t>发生特种设备较大事故。</w:t>
      </w:r>
    </w:p>
    <w:p w14:paraId="3527711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响应措施：</w:t>
      </w:r>
      <w:r>
        <w:rPr>
          <w:rFonts w:hint="eastAsia" w:ascii="仿宋" w:hAnsi="仿宋" w:eastAsia="仿宋" w:cs="仿宋"/>
          <w:b w:val="0"/>
          <w:bCs w:val="0"/>
          <w:color w:val="auto"/>
          <w:spacing w:val="0"/>
          <w:sz w:val="32"/>
          <w:szCs w:val="32"/>
          <w:lang w:eastAsia="zh-CN"/>
        </w:rPr>
        <w:t>市政府会同省市场监管部门，调度市、区政府的资源和力量进行处置。</w:t>
      </w:r>
    </w:p>
    <w:p w14:paraId="452AAB2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44" w:name="bookmark23"/>
      <w:bookmarkEnd w:id="44"/>
      <w:bookmarkStart w:id="45" w:name="_Toc20392"/>
      <w:r>
        <w:rPr>
          <w:rFonts w:hint="eastAsia" w:ascii="楷体" w:hAnsi="楷体" w:eastAsia="楷体" w:cs="楷体"/>
          <w:b w:val="0"/>
          <w:bCs w:val="0"/>
          <w:color w:val="auto"/>
          <w:spacing w:val="0"/>
          <w:sz w:val="32"/>
          <w:szCs w:val="32"/>
          <w:lang w:eastAsia="zh-CN"/>
        </w:rPr>
        <w:t>（四）Ⅳ级响应</w:t>
      </w:r>
      <w:bookmarkEnd w:id="45"/>
    </w:p>
    <w:p w14:paraId="10F5575B">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启动条件：</w:t>
      </w:r>
      <w:r>
        <w:rPr>
          <w:rFonts w:hint="eastAsia" w:ascii="仿宋" w:hAnsi="仿宋" w:eastAsia="仿宋" w:cs="仿宋"/>
          <w:color w:val="auto"/>
          <w:spacing w:val="0"/>
          <w:sz w:val="32"/>
          <w:szCs w:val="32"/>
          <w:lang w:eastAsia="zh-CN"/>
        </w:rPr>
        <w:t>发生特种设备一般事故。</w:t>
      </w:r>
    </w:p>
    <w:p w14:paraId="2F25038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响应措施：</w:t>
      </w:r>
      <w:r>
        <w:rPr>
          <w:rFonts w:hint="eastAsia" w:ascii="仿宋" w:hAnsi="仿宋" w:eastAsia="仿宋" w:cs="仿宋"/>
          <w:color w:val="auto"/>
          <w:spacing w:val="0"/>
          <w:sz w:val="32"/>
          <w:szCs w:val="32"/>
          <w:lang w:eastAsia="zh-CN"/>
        </w:rPr>
        <w:t>区政府会同市市场局等有关部门，组织调度辖区内的资源和力量，进行处置。</w:t>
      </w:r>
    </w:p>
    <w:p w14:paraId="3A04C76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46" w:name="bookmark24"/>
      <w:bookmarkEnd w:id="46"/>
      <w:bookmarkStart w:id="47" w:name="bookmark25"/>
      <w:bookmarkEnd w:id="47"/>
      <w:bookmarkStart w:id="48" w:name="_Toc28054"/>
      <w:r>
        <w:rPr>
          <w:rFonts w:hint="eastAsia" w:ascii="黑体" w:hAnsi="黑体" w:eastAsia="黑体" w:cs="黑体"/>
          <w:color w:val="auto"/>
          <w:spacing w:val="0"/>
          <w:sz w:val="32"/>
          <w:szCs w:val="32"/>
          <w:lang w:eastAsia="zh-CN"/>
        </w:rPr>
        <w:t>七、应急处置</w:t>
      </w:r>
      <w:bookmarkEnd w:id="48"/>
    </w:p>
    <w:p w14:paraId="64629C3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highlight w:val="none"/>
          <w:lang w:eastAsia="zh-CN"/>
        </w:rPr>
      </w:pPr>
      <w:bookmarkStart w:id="49" w:name="bookmark52"/>
      <w:bookmarkEnd w:id="49"/>
      <w:bookmarkStart w:id="50" w:name="_Toc12071"/>
      <w:r>
        <w:rPr>
          <w:rFonts w:hint="eastAsia" w:ascii="楷体" w:hAnsi="楷体" w:eastAsia="楷体" w:cs="楷体"/>
          <w:b w:val="0"/>
          <w:bCs w:val="0"/>
          <w:color w:val="auto"/>
          <w:spacing w:val="0"/>
          <w:sz w:val="32"/>
          <w:szCs w:val="32"/>
          <w:highlight w:val="none"/>
          <w:lang w:eastAsia="zh-CN"/>
        </w:rPr>
        <w:t>（一）信息报告</w:t>
      </w:r>
      <w:bookmarkEnd w:id="50"/>
    </w:p>
    <w:p w14:paraId="360F2BF1">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1.信息报告程序</w:t>
      </w:r>
    </w:p>
    <w:p w14:paraId="7F15871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（1）各</w:t>
      </w:r>
      <w:r>
        <w:rPr>
          <w:rFonts w:hint="eastAsia" w:ascii="仿宋" w:hAnsi="仿宋" w:eastAsia="仿宋" w:cs="仿宋"/>
          <w:color w:val="auto"/>
          <w:spacing w:val="0"/>
          <w:sz w:val="32"/>
          <w:szCs w:val="32"/>
          <w:lang w:eastAsia="zh-CN"/>
        </w:rPr>
        <w:t>街道办事处、各村屯在接到事故报告后必须立即上报区政府和区市场局。</w:t>
      </w:r>
    </w:p>
    <w:p w14:paraId="77ECE66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（2）特种设备事故发生后，事故发生单位应当按照特种设备事故报告的有关规定，在1小时内向区市场局及有关部门报告，由区市场局向市市场局报送。</w:t>
      </w:r>
    </w:p>
    <w:p w14:paraId="564F13D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（3）区市场局接到特种设备事故的报告后，应当尽快核实有关情况，依照《中华人民共和国特种设备安全法》的规定立即报告区政府。</w:t>
      </w:r>
    </w:p>
    <w:p w14:paraId="32B9220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2.信息报告内容</w:t>
      </w:r>
    </w:p>
    <w:p w14:paraId="035A66B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事故信息报告内容应当包括：事故发生的时间、地点、单位概况以及特种设备种类；事故发生初步情况，包括事故简要经过、现场破坏情况、已经造成或者可能造成的伤亡和涉险人数、初步估计的直接经济损失、初步确定的事故等级、初步判断的事故原因；已经采取的措施；报告人姓名、联系电话；其他有必要报告的情况。</w:t>
      </w:r>
    </w:p>
    <w:p w14:paraId="3E2358F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51" w:name="bookmark26"/>
      <w:bookmarkEnd w:id="51"/>
      <w:bookmarkStart w:id="52" w:name="_Toc2132"/>
      <w:r>
        <w:rPr>
          <w:rFonts w:hint="eastAsia" w:ascii="楷体" w:hAnsi="楷体" w:eastAsia="楷体" w:cs="楷体"/>
          <w:b w:val="0"/>
          <w:bCs w:val="0"/>
          <w:color w:val="auto"/>
          <w:spacing w:val="0"/>
          <w:sz w:val="32"/>
          <w:szCs w:val="32"/>
          <w:lang w:eastAsia="zh-CN"/>
        </w:rPr>
        <w:t>（二）紧急处置</w:t>
      </w:r>
      <w:bookmarkEnd w:id="52"/>
    </w:p>
    <w:p w14:paraId="6D18D771">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1.紧急处置措施</w:t>
      </w:r>
    </w:p>
    <w:p w14:paraId="6D0DF07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（1）特种设备事故发生后，事故发生单位应当立即启动本单位应急预案开展自救。</w:t>
      </w:r>
    </w:p>
    <w:p w14:paraId="4ACF5DD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（2）事故发生地街道办事处、村屯根据事故级别启动相应的特种设备事故应急预案，同时报告区市场局。</w:t>
      </w:r>
    </w:p>
    <w:p w14:paraId="10502C7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区市场局立即对事故情况进行快速了解、分析，报告特种设备事故应急指挥部总指挥，根据需要启动本预案。预案启动后，应急指挥部应联系市市场局，组织应急力量开展救援，必要时成立现场指挥部指挥救援。</w:t>
      </w:r>
    </w:p>
    <w:p w14:paraId="6EC6BAE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（4）当不能及时有效控制事故危害时，应急指挥部立即报市市场监管局，请求支援。</w:t>
      </w:r>
    </w:p>
    <w:p w14:paraId="58FC27EC">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2.现场紧急处置工作程序及要求</w:t>
      </w:r>
    </w:p>
    <w:p w14:paraId="5C946F0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（1）封锁事故现场。</w:t>
      </w:r>
      <w:r>
        <w:rPr>
          <w:rFonts w:hint="eastAsia" w:ascii="仿宋" w:hAnsi="仿宋" w:eastAsia="仿宋" w:cs="仿宋"/>
          <w:color w:val="auto"/>
          <w:spacing w:val="0"/>
          <w:sz w:val="32"/>
          <w:szCs w:val="32"/>
          <w:lang w:eastAsia="zh-CN"/>
        </w:rPr>
        <w:t>严禁一切无关的人员、车辆和物品进入事故危险区域，开辟应急救援人员、车辆及物资进出的安全通道，维持事故现场的社会治安和交通秩序。</w:t>
      </w:r>
    </w:p>
    <w:p w14:paraId="45739D9B">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（2）初始评估。</w:t>
      </w:r>
      <w:r>
        <w:rPr>
          <w:rFonts w:hint="eastAsia" w:ascii="仿宋" w:hAnsi="仿宋" w:eastAsia="仿宋" w:cs="仿宋"/>
          <w:color w:val="auto"/>
          <w:spacing w:val="0"/>
          <w:sz w:val="32"/>
          <w:szCs w:val="32"/>
          <w:lang w:eastAsia="zh-CN"/>
        </w:rPr>
        <w:t>先期处置队伍赶到事故现场后，应当尽快对事故发生的基本情况做出初始评估，包括事故范围及事故危害扩展的趋势以及人员伤亡和财产损失情况等。</w:t>
      </w:r>
    </w:p>
    <w:p w14:paraId="7F72232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（3）探测危险物资及控制危险源。</w:t>
      </w:r>
      <w:r>
        <w:rPr>
          <w:rFonts w:hint="eastAsia" w:ascii="仿宋" w:hAnsi="仿宋" w:eastAsia="仿宋" w:cs="仿宋"/>
          <w:color w:val="auto"/>
          <w:spacing w:val="0"/>
          <w:sz w:val="32"/>
          <w:szCs w:val="32"/>
          <w:lang w:eastAsia="zh-CN"/>
        </w:rPr>
        <w:t>根据发生事故的特种设备的结构、工艺特点以及所发生事故的类别，迅速展开必要的技术检验、检测工作，确认危险物资的类型和特性，制定抢险救援的技术方案，并采取有针对性的安全技术措施，及时有效地控制事故的扩大，消除事故危害和影响，并防止可能发生的次生灾害。</w:t>
      </w:r>
    </w:p>
    <w:p w14:paraId="58BB0221">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（4）建立现场工作区域。</w:t>
      </w:r>
      <w:r>
        <w:rPr>
          <w:rFonts w:hint="eastAsia" w:ascii="仿宋" w:hAnsi="仿宋" w:eastAsia="仿宋" w:cs="仿宋"/>
          <w:color w:val="auto"/>
          <w:spacing w:val="0"/>
          <w:sz w:val="32"/>
          <w:szCs w:val="32"/>
          <w:lang w:eastAsia="zh-CN"/>
        </w:rPr>
        <w:t>应当根据事故的危害、天气条件等因素，设立现场抢险救援的安全工作区域。</w:t>
      </w:r>
    </w:p>
    <w:p w14:paraId="194D951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对特种设备事故引发的危险介质泄漏应当设立三类工作区域，即危险区域、缓冲区域和安全区域。</w:t>
      </w:r>
    </w:p>
    <w:p w14:paraId="505E4D4E">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（5）抢救受害人员。</w:t>
      </w:r>
      <w:r>
        <w:rPr>
          <w:rFonts w:hint="eastAsia" w:ascii="仿宋" w:hAnsi="仿宋" w:eastAsia="仿宋" w:cs="仿宋"/>
          <w:color w:val="auto"/>
          <w:spacing w:val="0"/>
          <w:sz w:val="32"/>
          <w:szCs w:val="32"/>
          <w:lang w:eastAsia="zh-CN"/>
        </w:rPr>
        <w:t>及时、科学、有序地开展受害人员的现场抢救或者安全转移，尽最大可能降低人员的伤亡、减少事故所造成的财产损失。</w:t>
      </w:r>
    </w:p>
    <w:p w14:paraId="4CC88606">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（6）设立人员疏散区。</w:t>
      </w:r>
      <w:r>
        <w:rPr>
          <w:rFonts w:hint="eastAsia" w:ascii="仿宋" w:hAnsi="仿宋" w:eastAsia="仿宋" w:cs="仿宋"/>
          <w:color w:val="auto"/>
          <w:spacing w:val="0"/>
          <w:sz w:val="32"/>
          <w:szCs w:val="32"/>
          <w:lang w:eastAsia="zh-CN"/>
        </w:rPr>
        <w:t>根据事故的类别、规模和危害程度，在必要时，应当果断迅速地划定危险波及范围和区域，组织相关人员和物资安全撤离危险波及的范围和区域。</w:t>
      </w:r>
    </w:p>
    <w:p w14:paraId="43CA621B">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（7）清理事故现场。</w:t>
      </w:r>
      <w:r>
        <w:rPr>
          <w:rFonts w:hint="eastAsia" w:ascii="仿宋" w:hAnsi="仿宋" w:eastAsia="仿宋" w:cs="仿宋"/>
          <w:color w:val="auto"/>
          <w:spacing w:val="0"/>
          <w:sz w:val="32"/>
          <w:szCs w:val="32"/>
          <w:lang w:eastAsia="zh-CN"/>
        </w:rPr>
        <w:t>针对事故对人体、动植物、土壤、水源、空气已经造成和可能造成的危害，迅速采取封闭、隔离、清洗、化学中和等技术措施进行事故后处理，防止危害继续蔓延、扩大和环境污染。</w:t>
      </w:r>
    </w:p>
    <w:p w14:paraId="46227C0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53" w:name="bookmark27"/>
      <w:bookmarkEnd w:id="53"/>
      <w:bookmarkStart w:id="54" w:name="_Toc4962"/>
      <w:r>
        <w:rPr>
          <w:rFonts w:hint="eastAsia" w:ascii="楷体" w:hAnsi="楷体" w:eastAsia="楷体" w:cs="楷体"/>
          <w:b w:val="0"/>
          <w:bCs w:val="0"/>
          <w:color w:val="auto"/>
          <w:spacing w:val="0"/>
          <w:sz w:val="32"/>
          <w:szCs w:val="32"/>
          <w:lang w:eastAsia="zh-CN"/>
        </w:rPr>
        <w:t>（三）指挥和协调</w:t>
      </w:r>
      <w:bookmarkEnd w:id="54"/>
    </w:p>
    <w:p w14:paraId="33FDDB2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根据特种设备事故的级别，启动相应级别的应急预案，按照属地管理的原则，由各级政府指挥，各相关部门依据各自职责共同参与、协同作战。</w:t>
      </w:r>
    </w:p>
    <w:p w14:paraId="2CCE797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55" w:name="bookmark28"/>
      <w:bookmarkEnd w:id="55"/>
      <w:bookmarkStart w:id="56" w:name="_Toc7657"/>
      <w:r>
        <w:rPr>
          <w:rFonts w:hint="eastAsia" w:ascii="楷体" w:hAnsi="楷体" w:eastAsia="楷体" w:cs="楷体"/>
          <w:b w:val="0"/>
          <w:bCs w:val="0"/>
          <w:color w:val="auto"/>
          <w:spacing w:val="0"/>
          <w:sz w:val="32"/>
          <w:szCs w:val="32"/>
          <w:lang w:eastAsia="zh-CN"/>
        </w:rPr>
        <w:t>（四）社会力量动员与参与</w:t>
      </w:r>
      <w:bookmarkEnd w:id="56"/>
    </w:p>
    <w:p w14:paraId="0816601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在应急抢险救援过程中，根据需要建议当地政府负责依法动员、调动、征用有关人员、物资、设备、器材，以及占用场地。有关单位和个人应当给予支持、配合并提供便利条件，任何单位和个人不得拖延、阻拦和拒绝。</w:t>
      </w:r>
    </w:p>
    <w:p w14:paraId="5D71ED8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57" w:name="bookmark29"/>
      <w:bookmarkEnd w:id="57"/>
      <w:bookmarkStart w:id="58" w:name="_Toc27890"/>
      <w:r>
        <w:rPr>
          <w:rFonts w:hint="eastAsia" w:ascii="楷体" w:hAnsi="楷体" w:eastAsia="楷体" w:cs="楷体"/>
          <w:b w:val="0"/>
          <w:bCs w:val="0"/>
          <w:color w:val="auto"/>
          <w:spacing w:val="0"/>
          <w:sz w:val="32"/>
          <w:szCs w:val="32"/>
          <w:lang w:eastAsia="zh-CN"/>
        </w:rPr>
        <w:t>（五）信息发布、媒体应对</w:t>
      </w:r>
      <w:bookmarkEnd w:id="58"/>
    </w:p>
    <w:p w14:paraId="76B17E2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特种设备事故应急指挥部是特种设备事故信息的指定来源，负责特种设备事故信息的发布工作。具体新闻发布工作按国家、省、市的信息发布有关规定办理。</w:t>
      </w:r>
    </w:p>
    <w:p w14:paraId="1242580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59" w:name="bookmark30"/>
      <w:bookmarkEnd w:id="59"/>
      <w:bookmarkStart w:id="60" w:name="_Toc7915"/>
      <w:r>
        <w:rPr>
          <w:rFonts w:hint="eastAsia" w:ascii="楷体" w:hAnsi="楷体" w:eastAsia="楷体" w:cs="楷体"/>
          <w:b w:val="0"/>
          <w:bCs w:val="0"/>
          <w:color w:val="auto"/>
          <w:spacing w:val="0"/>
          <w:sz w:val="32"/>
          <w:szCs w:val="32"/>
          <w:lang w:eastAsia="zh-CN"/>
        </w:rPr>
        <w:t>（六）应急处置终止</w:t>
      </w:r>
      <w:bookmarkEnd w:id="60"/>
    </w:p>
    <w:p w14:paraId="163873C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同时具备下列条件时，现场指挥部根据应急救援实际情况，在报请市特种设备事故应急指挥部同意后宣布特种设备事故应急救援终止：</w:t>
      </w:r>
    </w:p>
    <w:p w14:paraId="0EBEE56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1.死亡和失踪人员已经查清；</w:t>
      </w:r>
    </w:p>
    <w:p w14:paraId="4C734BC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2.事故危害得以控制；</w:t>
      </w:r>
    </w:p>
    <w:p w14:paraId="7E2FD7D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3.次生事故因素已经消除；</w:t>
      </w:r>
    </w:p>
    <w:p w14:paraId="0C77D07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4.受伤人员基本得到救治；</w:t>
      </w:r>
    </w:p>
    <w:p w14:paraId="6B85F13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 w:hAnsi="仿宋" w:eastAsia="仿宋" w:cs="仿宋"/>
          <w:color w:val="auto"/>
          <w:spacing w:val="0"/>
          <w:sz w:val="32"/>
          <w:szCs w:val="32"/>
          <w:lang w:eastAsia="zh-CN"/>
        </w:rPr>
        <w:t>5.紧急疏散人员恢复正常生活。</w:t>
      </w:r>
    </w:p>
    <w:p w14:paraId="0C84F3A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61" w:name="bookmark31"/>
      <w:bookmarkEnd w:id="61"/>
      <w:bookmarkStart w:id="62" w:name="bookmark32"/>
      <w:bookmarkEnd w:id="62"/>
      <w:bookmarkStart w:id="63" w:name="_Toc10991"/>
      <w:r>
        <w:rPr>
          <w:rFonts w:hint="eastAsia" w:ascii="黑体" w:hAnsi="黑体" w:eastAsia="黑体" w:cs="黑体"/>
          <w:color w:val="auto"/>
          <w:spacing w:val="0"/>
          <w:sz w:val="32"/>
          <w:szCs w:val="32"/>
          <w:lang w:eastAsia="zh-CN"/>
        </w:rPr>
        <w:t>八、后期处置</w:t>
      </w:r>
      <w:bookmarkEnd w:id="63"/>
    </w:p>
    <w:p w14:paraId="6384FC0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64" w:name="bookmark53"/>
      <w:bookmarkEnd w:id="64"/>
      <w:bookmarkStart w:id="65" w:name="_Toc25481"/>
      <w:r>
        <w:rPr>
          <w:rFonts w:hint="eastAsia" w:ascii="楷体" w:hAnsi="楷体" w:eastAsia="楷体" w:cs="楷体"/>
          <w:b w:val="0"/>
          <w:bCs w:val="0"/>
          <w:color w:val="auto"/>
          <w:spacing w:val="0"/>
          <w:sz w:val="32"/>
          <w:szCs w:val="32"/>
          <w:lang w:eastAsia="zh-CN"/>
        </w:rPr>
        <w:t>（一）善后处理</w:t>
      </w:r>
      <w:bookmarkEnd w:id="65"/>
    </w:p>
    <w:p w14:paraId="7FC4892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应急抢险救援工作紧急调用物资、设备、人员和场地所发生的费用，按有关规定由有关单位负责。</w:t>
      </w:r>
    </w:p>
    <w:p w14:paraId="31CD9DD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发生特种设备事故后，必须由取得特种设备相应资质的单位对特种设备进行全面的检修，经法定的检验机构检验合格后方可重新投入使用。对严重损毁、无维修价值的，使用单位应当予以报废。</w:t>
      </w:r>
    </w:p>
    <w:p w14:paraId="382E104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事故救援结束后，当地人民政府应当做好安抚、抚恤、理赔工作，有关部门或者机构应当做好社会救助、保险等善后处理事项，尽快恢复受影响群众的正常生活和生产活动。</w:t>
      </w:r>
    </w:p>
    <w:p w14:paraId="5A32A02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66" w:name="bookmark33"/>
      <w:bookmarkEnd w:id="66"/>
      <w:bookmarkStart w:id="67" w:name="_Toc7289"/>
      <w:r>
        <w:rPr>
          <w:rFonts w:hint="eastAsia" w:ascii="楷体" w:hAnsi="楷体" w:eastAsia="楷体" w:cs="楷体"/>
          <w:b w:val="0"/>
          <w:bCs w:val="0"/>
          <w:color w:val="auto"/>
          <w:spacing w:val="0"/>
          <w:sz w:val="32"/>
          <w:szCs w:val="32"/>
          <w:lang w:eastAsia="zh-CN"/>
        </w:rPr>
        <w:t>（二）社会救助</w:t>
      </w:r>
      <w:bookmarkEnd w:id="67"/>
    </w:p>
    <w:p w14:paraId="63379CE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社会、个人和国外机构开展救助，捐赠资金、物资的管理由区民政局负责，区政府和有关部门负责监督。</w:t>
      </w:r>
    </w:p>
    <w:p w14:paraId="678B8A2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68" w:name="bookmark34"/>
      <w:bookmarkEnd w:id="68"/>
      <w:bookmarkStart w:id="69" w:name="_Toc8035"/>
      <w:r>
        <w:rPr>
          <w:rFonts w:hint="eastAsia" w:ascii="楷体" w:hAnsi="楷体" w:eastAsia="楷体" w:cs="楷体"/>
          <w:b w:val="0"/>
          <w:bCs w:val="0"/>
          <w:color w:val="auto"/>
          <w:spacing w:val="0"/>
          <w:sz w:val="32"/>
          <w:szCs w:val="32"/>
          <w:lang w:eastAsia="zh-CN"/>
        </w:rPr>
        <w:t>（三）保险</w:t>
      </w:r>
      <w:bookmarkEnd w:id="69"/>
    </w:p>
    <w:p w14:paraId="6F410A5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应急救援人员和受灾人员的保险理赔工作由为特种设备事故单位承保财产险、事故险的保险公司负责，实施理赔的工作程序、标准，按照企业与保险公司的协议和国家有关规定执行。</w:t>
      </w:r>
    </w:p>
    <w:p w14:paraId="2D374AB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70" w:name="bookmark35"/>
      <w:bookmarkEnd w:id="70"/>
      <w:bookmarkStart w:id="71" w:name="_Toc19366"/>
      <w:r>
        <w:rPr>
          <w:rFonts w:hint="eastAsia" w:ascii="楷体" w:hAnsi="楷体" w:eastAsia="楷体" w:cs="楷体"/>
          <w:b w:val="0"/>
          <w:bCs w:val="0"/>
          <w:color w:val="auto"/>
          <w:spacing w:val="0"/>
          <w:sz w:val="32"/>
          <w:szCs w:val="32"/>
          <w:lang w:eastAsia="zh-CN"/>
        </w:rPr>
        <w:t>（四）总结评估</w:t>
      </w:r>
      <w:bookmarkEnd w:id="71"/>
    </w:p>
    <w:p w14:paraId="3D3AC39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1.开展评估</w:t>
      </w:r>
    </w:p>
    <w:p w14:paraId="126D9780">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特种设备事故应急救援结束后，按照事故级别实施评估。</w:t>
      </w:r>
    </w:p>
    <w:p w14:paraId="1159CCB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（1）发生特种设备特别重大事故，按国家有关规定执行。</w:t>
      </w:r>
    </w:p>
    <w:p w14:paraId="3D0F395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（2）发生特种设备重大事故，按国家有关规定执行。</w:t>
      </w:r>
    </w:p>
    <w:p w14:paraId="0C175C3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（3）发生特种设备较大事故，由省特种设备安全监督管理部门会同有关部门开展评估。</w:t>
      </w:r>
    </w:p>
    <w:p w14:paraId="7739071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（4）发生特种设备一般事故，由市市场监管局会同有关部门开展事故评估。</w:t>
      </w:r>
    </w:p>
    <w:p w14:paraId="61D0D84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2.评估内容</w:t>
      </w:r>
    </w:p>
    <w:p w14:paraId="240662E1">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总结评估的要素包括：</w:t>
      </w:r>
      <w:r>
        <w:rPr>
          <w:rFonts w:hint="eastAsia" w:ascii="仿宋" w:hAnsi="仿宋" w:eastAsia="仿宋" w:cs="仿宋"/>
          <w:color w:val="auto"/>
          <w:spacing w:val="0"/>
          <w:sz w:val="32"/>
          <w:szCs w:val="32"/>
          <w:lang w:eastAsia="zh-CN"/>
        </w:rPr>
        <w:t>指挥体系运转是否顺畅；各级政府及相关部门职责定位是否准确；预警机制是否完善；应急响应是否及时有效；应急救援队伍是否满足需要；应急救援装备和器材的完整性和实用性；应急救援措施是否有力、有效；物资保障、医疗、交通运输、治安保卫、人员保护、通讯能力情况；预案的完整性、可行性。</w:t>
      </w:r>
    </w:p>
    <w:p w14:paraId="240C1CF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72" w:name="bookmark37"/>
      <w:bookmarkEnd w:id="72"/>
      <w:bookmarkStart w:id="73" w:name="bookmark36"/>
      <w:bookmarkEnd w:id="73"/>
      <w:bookmarkStart w:id="74" w:name="_Toc11591"/>
      <w:r>
        <w:rPr>
          <w:rFonts w:hint="eastAsia" w:ascii="黑体" w:hAnsi="黑体" w:eastAsia="黑体" w:cs="黑体"/>
          <w:color w:val="auto"/>
          <w:spacing w:val="0"/>
          <w:sz w:val="32"/>
          <w:szCs w:val="32"/>
          <w:lang w:eastAsia="zh-CN"/>
        </w:rPr>
        <w:t>九、保障措施</w:t>
      </w:r>
      <w:bookmarkEnd w:id="74"/>
    </w:p>
    <w:p w14:paraId="7FC017A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75" w:name="bookmark54"/>
      <w:bookmarkEnd w:id="75"/>
      <w:bookmarkStart w:id="76" w:name="_Toc1242"/>
      <w:r>
        <w:rPr>
          <w:rFonts w:hint="eastAsia" w:ascii="楷体" w:hAnsi="楷体" w:eastAsia="楷体" w:cs="楷体"/>
          <w:b w:val="0"/>
          <w:bCs w:val="0"/>
          <w:color w:val="auto"/>
          <w:spacing w:val="0"/>
          <w:sz w:val="32"/>
          <w:szCs w:val="32"/>
          <w:lang w:eastAsia="zh-CN"/>
        </w:rPr>
        <w:t>（一）通讯保障</w:t>
      </w:r>
      <w:bookmarkEnd w:id="76"/>
    </w:p>
    <w:p w14:paraId="07585F6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特种设备事故应急指挥部建立与有关部门、相应的专业救援机构及有关专家的通信联络数据库，各值班电话24小时值守。</w:t>
      </w:r>
    </w:p>
    <w:p w14:paraId="64509E1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77" w:name="bookmark38"/>
      <w:bookmarkEnd w:id="77"/>
      <w:bookmarkStart w:id="78" w:name="_Toc14762"/>
      <w:r>
        <w:rPr>
          <w:rFonts w:hint="eastAsia" w:ascii="楷体" w:hAnsi="楷体" w:eastAsia="楷体" w:cs="楷体"/>
          <w:b w:val="0"/>
          <w:bCs w:val="0"/>
          <w:color w:val="auto"/>
          <w:spacing w:val="0"/>
          <w:sz w:val="32"/>
          <w:szCs w:val="32"/>
          <w:lang w:eastAsia="zh-CN"/>
        </w:rPr>
        <w:t>（二）应急救援与保障</w:t>
      </w:r>
      <w:bookmarkEnd w:id="78"/>
    </w:p>
    <w:p w14:paraId="03CE215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在企业建立救援队伍的基础上，区政府整合消防、大企业自我救援队伍等社会资源建立专业救援队伍，特别是特种设备如大型游乐设施、电梯等应急救援专业队伍。</w:t>
      </w:r>
    </w:p>
    <w:p w14:paraId="15E0DA0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79" w:name="bookmark39"/>
      <w:bookmarkEnd w:id="79"/>
      <w:bookmarkStart w:id="80" w:name="_Toc5583"/>
      <w:r>
        <w:rPr>
          <w:rFonts w:hint="eastAsia" w:ascii="楷体" w:hAnsi="楷体" w:eastAsia="楷体" w:cs="楷体"/>
          <w:b w:val="0"/>
          <w:bCs w:val="0"/>
          <w:color w:val="auto"/>
          <w:spacing w:val="0"/>
          <w:sz w:val="32"/>
          <w:szCs w:val="32"/>
          <w:lang w:eastAsia="zh-CN"/>
        </w:rPr>
        <w:t>（三）技术储备与保障</w:t>
      </w:r>
      <w:bookmarkEnd w:id="80"/>
    </w:p>
    <w:p w14:paraId="6E19CBF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1.区市场局应当根据辖区内特种设备的分布特点，配合市市场局建立相应的专家组。专家组成员由检验检测机构、特种设备生产和使用单位、大专院校、科研单位、行业协会的专业技术人员组成。</w:t>
      </w:r>
    </w:p>
    <w:p w14:paraId="6EB3634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专家组应当定期召开会议，对国内外近期发生的事故案例进行研究、分析。专家组应当积极开展与特种设备事故应急救援有关的科学研究，参与起草或修订完善本地区的特种设备事故应急救援方案。</w:t>
      </w:r>
    </w:p>
    <w:p w14:paraId="72F487D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 w:hAnsi="仿宋" w:eastAsia="仿宋" w:cs="仿宋"/>
          <w:color w:val="auto"/>
          <w:spacing w:val="0"/>
          <w:sz w:val="32"/>
          <w:szCs w:val="32"/>
          <w:lang w:eastAsia="zh-CN"/>
        </w:rPr>
        <w:t>2.区市场局应当针对多发事故，制定具体的事故预防措施和应急处置措施，并指导企业落实，做好事故预防。</w:t>
      </w:r>
    </w:p>
    <w:p w14:paraId="2A0B1B7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81" w:name="bookmark40"/>
      <w:bookmarkEnd w:id="81"/>
      <w:bookmarkStart w:id="82" w:name="_Toc18966"/>
      <w:r>
        <w:rPr>
          <w:rFonts w:hint="eastAsia" w:ascii="楷体" w:hAnsi="楷体" w:eastAsia="楷体" w:cs="楷体"/>
          <w:b w:val="0"/>
          <w:bCs w:val="0"/>
          <w:color w:val="auto"/>
          <w:spacing w:val="0"/>
          <w:sz w:val="32"/>
          <w:szCs w:val="32"/>
          <w:lang w:eastAsia="zh-CN"/>
        </w:rPr>
        <w:t>（四）奖励与责任</w:t>
      </w:r>
      <w:bookmarkEnd w:id="82"/>
    </w:p>
    <w:p w14:paraId="072A7E0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val="0"/>
          <w:bCs w:val="0"/>
          <w:color w:val="auto"/>
          <w:spacing w:val="0"/>
          <w:sz w:val="32"/>
          <w:szCs w:val="32"/>
          <w:lang w:eastAsia="zh-CN"/>
        </w:rPr>
        <w:t>应急救援工作结束后，区政府应当组织相关部门和单位认真进行总结、分析，吸取事故</w:t>
      </w:r>
      <w:r>
        <w:rPr>
          <w:rFonts w:hint="eastAsia" w:ascii="仿宋" w:hAnsi="仿宋" w:eastAsia="仿宋" w:cs="仿宋"/>
          <w:color w:val="auto"/>
          <w:spacing w:val="0"/>
          <w:sz w:val="32"/>
          <w:szCs w:val="32"/>
          <w:lang w:eastAsia="zh-CN"/>
        </w:rPr>
        <w:t>的教训，及时进行整改，并按照下列规定对有关单位和人员进行奖惩：</w:t>
      </w:r>
    </w:p>
    <w:p w14:paraId="0431907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1.对在应急抢险救援、指挥、信息报送等方面有突出贡献的单位和个人，应当按《中华人民共和国特种设备安全法》的有关规定，给予表彰和奖励；</w:t>
      </w:r>
    </w:p>
    <w:p w14:paraId="7C7ECD8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对瞒报、迟报、漏报、谎报事故信息，以及在事故应急处置中玩忽职守、不听从指挥、不履行职责或者临阵逃脱、擅离职守的人员，以及扰乱、妨碍抢险救援工作的单位和人员，由所在单位或者有关部门按照有关规定，给予责任追究或者行政处分，构成犯罪的依法追究刑事责任。</w:t>
      </w:r>
    </w:p>
    <w:p w14:paraId="279EF69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83" w:name="bookmark41"/>
      <w:bookmarkEnd w:id="83"/>
      <w:bookmarkStart w:id="84" w:name="bookmark42"/>
      <w:bookmarkEnd w:id="84"/>
      <w:bookmarkStart w:id="85" w:name="_Toc27087"/>
      <w:r>
        <w:rPr>
          <w:rFonts w:hint="eastAsia" w:ascii="黑体" w:hAnsi="黑体" w:eastAsia="黑体" w:cs="黑体"/>
          <w:color w:val="auto"/>
          <w:spacing w:val="0"/>
          <w:sz w:val="32"/>
          <w:szCs w:val="32"/>
          <w:lang w:eastAsia="zh-CN"/>
        </w:rPr>
        <w:t>十、预案管理</w:t>
      </w:r>
      <w:bookmarkEnd w:id="85"/>
    </w:p>
    <w:p w14:paraId="18674DE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86" w:name="bookmark55"/>
      <w:bookmarkEnd w:id="86"/>
      <w:bookmarkStart w:id="87" w:name="_Toc20712"/>
      <w:r>
        <w:rPr>
          <w:rFonts w:hint="eastAsia" w:ascii="楷体" w:hAnsi="楷体" w:eastAsia="楷体" w:cs="楷体"/>
          <w:b w:val="0"/>
          <w:bCs w:val="0"/>
          <w:color w:val="auto"/>
          <w:spacing w:val="0"/>
          <w:sz w:val="32"/>
          <w:szCs w:val="32"/>
          <w:lang w:eastAsia="zh-CN"/>
        </w:rPr>
        <w:t>（一）培训和演练</w:t>
      </w:r>
      <w:bookmarkEnd w:id="87"/>
    </w:p>
    <w:p w14:paraId="4E23AC1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1.区市场局协助区政府做好特种设备事故的预防、避险、避灾、自救、互救等知识的宣传教育，并向社会公布抢险救援电话。</w:t>
      </w:r>
    </w:p>
    <w:p w14:paraId="498D07A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2.区市场局协助区政府组织或者督促有关政府职能部门、特种设备使用单位和专业抢险救援队伍开展相关人员的应急培训，锻炼和提高应急救援综合能力。</w:t>
      </w:r>
    </w:p>
    <w:p w14:paraId="426A843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3.区市场局负责组织或者督促特种设备使用单位每年至少进行一次特种设备事故应急救援预案的演练。演练结束后，应当对演练情况进行评估、总结，对应急预案进行修订和完善。</w:t>
      </w:r>
    </w:p>
    <w:p w14:paraId="0B5E9B2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4.本预案至少每3年进行1次应急演练。</w:t>
      </w:r>
    </w:p>
    <w:p w14:paraId="47720B7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88" w:name="bookmark43"/>
      <w:bookmarkEnd w:id="88"/>
      <w:bookmarkStart w:id="89" w:name="_Toc5373"/>
      <w:r>
        <w:rPr>
          <w:rFonts w:hint="eastAsia" w:ascii="楷体" w:hAnsi="楷体" w:eastAsia="楷体" w:cs="楷体"/>
          <w:b w:val="0"/>
          <w:bCs w:val="0"/>
          <w:color w:val="auto"/>
          <w:spacing w:val="0"/>
          <w:sz w:val="32"/>
          <w:szCs w:val="32"/>
          <w:lang w:eastAsia="zh-CN"/>
        </w:rPr>
        <w:t>（二）预案更新</w:t>
      </w:r>
      <w:bookmarkEnd w:id="89"/>
    </w:p>
    <w:p w14:paraId="7D2EC33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有下列情形之一的，应当及时修订本预案：</w:t>
      </w:r>
    </w:p>
    <w:p w14:paraId="060355B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1.有关法律、行政法规、规章、标准、上位预案中的有关规定发生变化的；</w:t>
      </w:r>
    </w:p>
    <w:p w14:paraId="48FD282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2.应急指挥机构及其职责发生重大调整的；</w:t>
      </w:r>
    </w:p>
    <w:p w14:paraId="32FB0B2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3.面临的风险发生重大变化的；</w:t>
      </w:r>
    </w:p>
    <w:p w14:paraId="63E6E77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4.重要应急资源发生重大变化的；</w:t>
      </w:r>
    </w:p>
    <w:p w14:paraId="2C4A074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5.预案中的其他重要信息发生变化的；</w:t>
      </w:r>
    </w:p>
    <w:p w14:paraId="2F06539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6.在突发事件实际应对和应急演练中发现问题需作出重大调整的；</w:t>
      </w:r>
    </w:p>
    <w:p w14:paraId="20C07F3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7.应急预案制定单位认为应当修订的其他情况。</w:t>
      </w:r>
    </w:p>
    <w:p w14:paraId="13DC90B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90" w:name="bookmark44"/>
      <w:bookmarkEnd w:id="90"/>
      <w:bookmarkStart w:id="91" w:name="_Toc14351"/>
      <w:r>
        <w:rPr>
          <w:rFonts w:hint="eastAsia" w:ascii="楷体" w:hAnsi="楷体" w:eastAsia="楷体" w:cs="楷体"/>
          <w:b w:val="0"/>
          <w:bCs w:val="0"/>
          <w:color w:val="auto"/>
          <w:spacing w:val="0"/>
          <w:sz w:val="32"/>
          <w:szCs w:val="32"/>
          <w:lang w:eastAsia="zh-CN"/>
        </w:rPr>
        <w:t>（三）预案实施</w:t>
      </w:r>
      <w:bookmarkEnd w:id="91"/>
    </w:p>
    <w:p w14:paraId="0FA9418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val="0"/>
          <w:bCs w:val="0"/>
          <w:color w:val="auto"/>
          <w:spacing w:val="0"/>
          <w:sz w:val="32"/>
          <w:szCs w:val="32"/>
          <w:lang w:eastAsia="zh-CN"/>
        </w:rPr>
        <w:t>本预案自公布之日起实施。</w:t>
      </w:r>
    </w:p>
    <w:p w14:paraId="6B43D1F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92" w:name="bookmark45"/>
      <w:bookmarkEnd w:id="92"/>
      <w:bookmarkStart w:id="93" w:name="_Toc11928"/>
      <w:r>
        <w:rPr>
          <w:rFonts w:hint="eastAsia" w:ascii="黑体" w:hAnsi="黑体" w:eastAsia="黑体" w:cs="黑体"/>
          <w:color w:val="auto"/>
          <w:spacing w:val="0"/>
          <w:sz w:val="32"/>
          <w:szCs w:val="32"/>
          <w:lang w:eastAsia="zh-CN"/>
        </w:rPr>
        <w:t>十一、附则</w:t>
      </w:r>
      <w:bookmarkEnd w:id="93"/>
    </w:p>
    <w:p w14:paraId="23DA456D">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1.特种设备：</w:t>
      </w:r>
      <w:r>
        <w:rPr>
          <w:rFonts w:hint="eastAsia" w:ascii="仿宋" w:hAnsi="仿宋" w:eastAsia="仿宋" w:cs="仿宋"/>
          <w:color w:val="auto"/>
          <w:spacing w:val="0"/>
          <w:sz w:val="32"/>
          <w:szCs w:val="32"/>
          <w:lang w:eastAsia="zh-CN"/>
        </w:rPr>
        <w:t>指涉及生命安全、危险性较大的锅炉、压力容器、压力管道、电梯、起重机械、客运索道、大型游乐设施、场（厂）内车辆等设备及其安全装置、安全附件。</w:t>
      </w:r>
    </w:p>
    <w:p w14:paraId="07A61AAD">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2.事故：</w:t>
      </w:r>
      <w:r>
        <w:rPr>
          <w:rFonts w:hint="eastAsia" w:ascii="仿宋" w:hAnsi="仿宋" w:eastAsia="仿宋" w:cs="仿宋"/>
          <w:color w:val="auto"/>
          <w:spacing w:val="0"/>
          <w:sz w:val="32"/>
          <w:szCs w:val="32"/>
          <w:lang w:eastAsia="zh-CN"/>
        </w:rPr>
        <w:t>生产或者生活活动过程中发生的意外突发性事件总称，通常会使正常活动中断，造成人员伤亡或者财产损失。</w:t>
      </w:r>
    </w:p>
    <w:p w14:paraId="0A5A1B8B">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3.特种设备事故：</w:t>
      </w:r>
      <w:r>
        <w:rPr>
          <w:rFonts w:hint="eastAsia" w:ascii="仿宋" w:hAnsi="仿宋" w:eastAsia="仿宋" w:cs="仿宋"/>
          <w:color w:val="auto"/>
          <w:spacing w:val="0"/>
          <w:sz w:val="32"/>
          <w:szCs w:val="32"/>
          <w:lang w:eastAsia="zh-CN"/>
        </w:rPr>
        <w:t>是指因特种设备的不安全状态或者相关人员的不安全行为，在特种设备制造、安装、改造、维修、使用（含移动式压力容器、气瓶充装）、检验检测活动中造成的人员伤亡、财产损失、特种设备严重损坏或者中断运行、人员滞留、人员转移等突发事件。</w:t>
      </w:r>
    </w:p>
    <w:p w14:paraId="3DDF5BEB">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4.事故隐患：</w:t>
      </w:r>
      <w:r>
        <w:rPr>
          <w:rFonts w:hint="eastAsia" w:ascii="仿宋" w:hAnsi="仿宋" w:eastAsia="仿宋" w:cs="仿宋"/>
          <w:color w:val="auto"/>
          <w:spacing w:val="0"/>
          <w:sz w:val="32"/>
          <w:szCs w:val="32"/>
          <w:lang w:eastAsia="zh-CN"/>
        </w:rPr>
        <w:t>可能导致事故发生的设备缺陷、人的不安全行为及管理上的缺陷。</w:t>
      </w:r>
    </w:p>
    <w:p w14:paraId="3CD61798">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5.重点监控设备：</w:t>
      </w:r>
      <w:r>
        <w:rPr>
          <w:rFonts w:hint="eastAsia" w:ascii="仿宋" w:hAnsi="仿宋" w:eastAsia="仿宋" w:cs="仿宋"/>
          <w:color w:val="auto"/>
          <w:spacing w:val="0"/>
          <w:sz w:val="32"/>
          <w:szCs w:val="32"/>
          <w:lang w:eastAsia="zh-CN"/>
        </w:rPr>
        <w:t>是指设备发生事故后，可能造成重特大伤亡和严重社会影响的《特种设备目录》范围内的在用特种设备。</w:t>
      </w:r>
    </w:p>
    <w:p w14:paraId="7C53F828">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6.特种设备风险评估：</w:t>
      </w:r>
      <w:r>
        <w:rPr>
          <w:rFonts w:hint="eastAsia" w:ascii="仿宋" w:hAnsi="仿宋" w:eastAsia="仿宋" w:cs="仿宋"/>
          <w:color w:val="auto"/>
          <w:spacing w:val="0"/>
          <w:sz w:val="32"/>
          <w:szCs w:val="32"/>
          <w:lang w:eastAsia="zh-CN"/>
        </w:rPr>
        <w:t>以诱发特种设备事故的各种因素为依据，以影响因素发展成各类事故的可能性为条件，以事故后果造成的综合损失为评估指标，对各类特种设备的安全程度做出风险识别、分析和评价。</w:t>
      </w:r>
    </w:p>
    <w:p w14:paraId="3C6423D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7.特种设备安全状况评价：</w:t>
      </w:r>
      <w:r>
        <w:rPr>
          <w:rFonts w:hint="eastAsia" w:ascii="仿宋" w:hAnsi="仿宋" w:eastAsia="仿宋" w:cs="仿宋"/>
          <w:color w:val="auto"/>
          <w:spacing w:val="0"/>
          <w:sz w:val="32"/>
          <w:szCs w:val="32"/>
          <w:lang w:eastAsia="zh-CN"/>
        </w:rPr>
        <w:t>根据特种设备本身安全状况、使用环境、管理情况以及事故发生后可能造成损失、社会影响等因素，通过评估、计算、分析，确定某一地区、某一单位，或者某一种设备在某一时期的特种设备安全状况的活动。</w:t>
      </w:r>
    </w:p>
    <w:p w14:paraId="299F551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黑体" w:hAnsi="黑体" w:eastAsia="黑体" w:cs="黑体"/>
          <w:color w:val="auto"/>
          <w:spacing w:val="0"/>
          <w:sz w:val="32"/>
          <w:szCs w:val="32"/>
          <w:lang w:val="en-US" w:eastAsia="zh-CN"/>
        </w:rPr>
      </w:pPr>
      <w:bookmarkStart w:id="94" w:name="bookmark46"/>
      <w:bookmarkEnd w:id="94"/>
      <w:bookmarkStart w:id="95" w:name="bookmark47"/>
      <w:bookmarkEnd w:id="95"/>
      <w:bookmarkStart w:id="96" w:name="_Toc25258"/>
      <w:r>
        <w:rPr>
          <w:rFonts w:hint="eastAsia" w:ascii="黑体" w:hAnsi="黑体" w:eastAsia="黑体" w:cs="黑体"/>
          <w:color w:val="auto"/>
          <w:spacing w:val="0"/>
          <w:sz w:val="32"/>
          <w:szCs w:val="32"/>
          <w:lang w:eastAsia="zh-CN"/>
        </w:rPr>
        <w:t>十二、</w:t>
      </w:r>
      <w:r>
        <w:rPr>
          <w:rFonts w:hint="eastAsia" w:ascii="黑体" w:hAnsi="黑体" w:eastAsia="黑体" w:cs="黑体"/>
          <w:color w:val="auto"/>
          <w:spacing w:val="0"/>
          <w:sz w:val="32"/>
          <w:szCs w:val="32"/>
          <w:lang w:val="en-US" w:eastAsia="zh-CN"/>
        </w:rPr>
        <w:t>附件</w:t>
      </w:r>
      <w:bookmarkEnd w:id="96"/>
    </w:p>
    <w:p w14:paraId="6090348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b w:val="0"/>
          <w:bCs w:val="0"/>
          <w:color w:val="auto"/>
          <w:spacing w:val="0"/>
          <w:sz w:val="32"/>
          <w:szCs w:val="32"/>
          <w:lang w:eastAsia="zh-CN"/>
        </w:rPr>
      </w:pPr>
      <w:bookmarkStart w:id="97" w:name="bookmark56"/>
      <w:bookmarkEnd w:id="97"/>
      <w:r>
        <w:rPr>
          <w:rFonts w:hint="eastAsia" w:ascii="仿宋" w:hAnsi="仿宋" w:eastAsia="仿宋" w:cs="仿宋"/>
          <w:b w:val="0"/>
          <w:bCs w:val="0"/>
          <w:color w:val="auto"/>
          <w:spacing w:val="0"/>
          <w:sz w:val="32"/>
          <w:szCs w:val="32"/>
          <w:highlight w:val="none"/>
          <w:lang w:eastAsia="zh-CN"/>
        </w:rPr>
        <w:t>附</w:t>
      </w:r>
      <w:r>
        <w:rPr>
          <w:rFonts w:hint="eastAsia" w:ascii="仿宋" w:hAnsi="仿宋" w:eastAsia="仿宋" w:cs="仿宋"/>
          <w:b w:val="0"/>
          <w:bCs w:val="0"/>
          <w:color w:val="auto"/>
          <w:spacing w:val="0"/>
          <w:sz w:val="32"/>
          <w:szCs w:val="32"/>
          <w:highlight w:val="none"/>
          <w:lang w:val="en-US" w:eastAsia="zh-CN"/>
        </w:rPr>
        <w:t>件</w:t>
      </w:r>
      <w:r>
        <w:rPr>
          <w:rFonts w:hint="eastAsia" w:ascii="仿宋" w:hAnsi="仿宋" w:eastAsia="仿宋" w:cs="仿宋"/>
          <w:b w:val="0"/>
          <w:bCs w:val="0"/>
          <w:color w:val="auto"/>
          <w:spacing w:val="0"/>
          <w:sz w:val="32"/>
          <w:szCs w:val="32"/>
          <w:highlight w:val="none"/>
          <w:lang w:eastAsia="zh-CN"/>
        </w:rPr>
        <w:t>：</w:t>
      </w:r>
      <w:r>
        <w:rPr>
          <w:rFonts w:hint="eastAsia" w:ascii="仿宋" w:hAnsi="仿宋" w:eastAsia="仿宋" w:cs="仿宋"/>
          <w:b w:val="0"/>
          <w:bCs w:val="0"/>
          <w:color w:val="auto"/>
          <w:spacing w:val="0"/>
          <w:sz w:val="32"/>
          <w:szCs w:val="32"/>
          <w:highlight w:val="none"/>
          <w:lang w:val="en-US" w:eastAsia="zh-CN"/>
        </w:rPr>
        <w:t>1.</w:t>
      </w:r>
      <w:r>
        <w:rPr>
          <w:rFonts w:hint="eastAsia" w:ascii="仿宋" w:hAnsi="仿宋" w:eastAsia="仿宋" w:cs="仿宋"/>
          <w:b w:val="0"/>
          <w:bCs w:val="0"/>
          <w:color w:val="auto"/>
          <w:spacing w:val="0"/>
          <w:sz w:val="32"/>
          <w:szCs w:val="32"/>
          <w:lang w:eastAsia="zh-CN"/>
        </w:rPr>
        <w:t>特种设备事故应急救援组织指挥体系图</w:t>
      </w:r>
    </w:p>
    <w:p w14:paraId="27DA84D9">
      <w:pPr>
        <w:keepNext w:val="0"/>
        <w:keepLines w:val="0"/>
        <w:pageBreakBefore w:val="0"/>
        <w:widowControl w:val="0"/>
        <w:kinsoku/>
        <w:wordWrap/>
        <w:overflowPunct/>
        <w:topLinePunct w:val="0"/>
        <w:autoSpaceDE w:val="0"/>
        <w:autoSpaceDN w:val="0"/>
        <w:bidi w:val="0"/>
        <w:adjustRightInd w:val="0"/>
        <w:snapToGrid w:val="0"/>
        <w:spacing w:line="560" w:lineRule="exact"/>
        <w:ind w:firstLine="1600" w:firstLineChars="500"/>
        <w:jc w:val="both"/>
        <w:textAlignment w:val="baseline"/>
        <w:outlineLvl w:val="9"/>
        <w:rPr>
          <w:rFonts w:hint="default" w:ascii="仿宋" w:hAnsi="仿宋" w:eastAsia="仿宋" w:cs="仿宋"/>
          <w:b w:val="0"/>
          <w:bCs w:val="0"/>
          <w:color w:val="auto"/>
          <w:spacing w:val="0"/>
          <w:sz w:val="32"/>
          <w:szCs w:val="32"/>
          <w:highlight w:val="none"/>
          <w:lang w:val="en-US" w:eastAsia="zh-CN"/>
        </w:rPr>
      </w:pPr>
      <w:r>
        <w:rPr>
          <w:rFonts w:hint="eastAsia" w:ascii="仿宋" w:hAnsi="仿宋" w:eastAsia="仿宋" w:cs="仿宋"/>
          <w:b w:val="0"/>
          <w:bCs w:val="0"/>
          <w:color w:val="auto"/>
          <w:spacing w:val="0"/>
          <w:sz w:val="32"/>
          <w:szCs w:val="32"/>
          <w:highlight w:val="none"/>
          <w:lang w:val="en-US" w:eastAsia="zh-CN"/>
        </w:rPr>
        <w:t>2.</w:t>
      </w:r>
      <w:r>
        <w:rPr>
          <w:rFonts w:hint="eastAsia" w:ascii="仿宋" w:hAnsi="仿宋" w:eastAsia="仿宋" w:cs="仿宋"/>
          <w:b w:val="0"/>
          <w:bCs w:val="0"/>
          <w:color w:val="auto"/>
          <w:spacing w:val="0"/>
          <w:sz w:val="32"/>
          <w:szCs w:val="32"/>
          <w:lang w:val="zh-CN" w:eastAsia="zh-CN"/>
        </w:rPr>
        <w:t>风险分级管控及评价方法</w:t>
      </w:r>
    </w:p>
    <w:p w14:paraId="127374B9">
      <w:pPr>
        <w:spacing w:line="560" w:lineRule="exact"/>
        <w:ind w:firstLine="619" w:firstLineChars="200"/>
        <w:jc w:val="both"/>
        <w:outlineLvl w:val="1"/>
        <w:rPr>
          <w:rFonts w:hint="eastAsia" w:ascii="楷体" w:hAnsi="楷体" w:eastAsia="楷体" w:cs="楷体"/>
          <w:b/>
          <w:bCs/>
          <w:color w:val="auto"/>
          <w:spacing w:val="-6"/>
          <w:sz w:val="32"/>
          <w:szCs w:val="32"/>
          <w:lang w:eastAsia="zh-CN"/>
        </w:rPr>
      </w:pPr>
    </w:p>
    <w:p w14:paraId="5743B9E1">
      <w:pPr>
        <w:spacing w:line="560" w:lineRule="exact"/>
        <w:jc w:val="both"/>
        <w:outlineLvl w:val="1"/>
        <w:rPr>
          <w:rFonts w:hint="eastAsia" w:ascii="楷体" w:hAnsi="楷体" w:eastAsia="楷体" w:cs="楷体"/>
          <w:b/>
          <w:bCs/>
          <w:color w:val="auto"/>
          <w:spacing w:val="-6"/>
          <w:sz w:val="32"/>
          <w:szCs w:val="32"/>
          <w:lang w:eastAsia="zh-CN"/>
        </w:rPr>
      </w:pPr>
    </w:p>
    <w:p w14:paraId="0308BB5A">
      <w:pPr>
        <w:spacing w:line="560" w:lineRule="exact"/>
        <w:jc w:val="both"/>
        <w:outlineLvl w:val="1"/>
        <w:rPr>
          <w:rFonts w:hint="eastAsia" w:ascii="楷体" w:hAnsi="楷体" w:eastAsia="楷体" w:cs="楷体"/>
          <w:b/>
          <w:bCs/>
          <w:color w:val="auto"/>
          <w:spacing w:val="-6"/>
          <w:sz w:val="32"/>
          <w:szCs w:val="32"/>
          <w:lang w:eastAsia="zh-CN"/>
        </w:rPr>
      </w:pPr>
    </w:p>
    <w:p w14:paraId="4F170797">
      <w:pPr>
        <w:spacing w:line="560" w:lineRule="exact"/>
        <w:jc w:val="both"/>
        <w:outlineLvl w:val="1"/>
        <w:rPr>
          <w:rFonts w:hint="eastAsia" w:ascii="楷体" w:hAnsi="楷体" w:eastAsia="楷体" w:cs="楷体"/>
          <w:b/>
          <w:bCs/>
          <w:color w:val="auto"/>
          <w:spacing w:val="-6"/>
          <w:sz w:val="32"/>
          <w:szCs w:val="32"/>
          <w:lang w:eastAsia="zh-CN"/>
        </w:rPr>
      </w:pPr>
    </w:p>
    <w:p w14:paraId="729CA79D">
      <w:pPr>
        <w:spacing w:line="560" w:lineRule="exact"/>
        <w:jc w:val="both"/>
        <w:outlineLvl w:val="1"/>
        <w:rPr>
          <w:rFonts w:hint="eastAsia" w:ascii="楷体" w:hAnsi="楷体" w:eastAsia="楷体" w:cs="楷体"/>
          <w:b/>
          <w:bCs/>
          <w:color w:val="auto"/>
          <w:spacing w:val="-6"/>
          <w:sz w:val="32"/>
          <w:szCs w:val="32"/>
          <w:lang w:eastAsia="zh-CN"/>
        </w:rPr>
      </w:pPr>
    </w:p>
    <w:p w14:paraId="69F32D87">
      <w:pPr>
        <w:spacing w:line="560" w:lineRule="exact"/>
        <w:jc w:val="both"/>
        <w:outlineLvl w:val="1"/>
        <w:rPr>
          <w:rFonts w:hint="eastAsia" w:ascii="楷体" w:hAnsi="楷体" w:eastAsia="楷体" w:cs="楷体"/>
          <w:b/>
          <w:bCs/>
          <w:color w:val="auto"/>
          <w:spacing w:val="-6"/>
          <w:sz w:val="32"/>
          <w:szCs w:val="32"/>
          <w:lang w:eastAsia="zh-CN"/>
        </w:rPr>
      </w:pPr>
    </w:p>
    <w:p w14:paraId="5D03E804">
      <w:pPr>
        <w:spacing w:line="560" w:lineRule="exact"/>
        <w:jc w:val="both"/>
        <w:outlineLvl w:val="1"/>
        <w:rPr>
          <w:rFonts w:hint="eastAsia" w:ascii="楷体" w:hAnsi="楷体" w:eastAsia="楷体" w:cs="楷体"/>
          <w:b/>
          <w:bCs/>
          <w:spacing w:val="-6"/>
          <w:sz w:val="32"/>
          <w:szCs w:val="32"/>
          <w:lang w:eastAsia="zh-CN"/>
        </w:rPr>
      </w:pPr>
    </w:p>
    <w:p w14:paraId="6D1B2E23">
      <w:pPr>
        <w:spacing w:line="560" w:lineRule="exact"/>
        <w:jc w:val="both"/>
        <w:outlineLvl w:val="1"/>
        <w:rPr>
          <w:rFonts w:hint="eastAsia" w:ascii="楷体" w:hAnsi="楷体" w:eastAsia="楷体" w:cs="楷体"/>
          <w:b/>
          <w:bCs/>
          <w:spacing w:val="-6"/>
          <w:sz w:val="32"/>
          <w:szCs w:val="32"/>
          <w:lang w:eastAsia="zh-CN"/>
        </w:rPr>
      </w:pPr>
    </w:p>
    <w:p w14:paraId="75D2868E">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1"/>
        <w:rPr>
          <w:rFonts w:hint="default" w:ascii="黑体" w:hAnsi="黑体" w:eastAsia="黑体" w:cs="黑体"/>
          <w:b w:val="0"/>
          <w:bCs w:val="0"/>
          <w:spacing w:val="-3"/>
          <w:sz w:val="32"/>
          <w:szCs w:val="32"/>
          <w:highlight w:val="none"/>
          <w:lang w:val="en-US" w:eastAsia="zh-CN"/>
        </w:rPr>
      </w:pPr>
      <w:bookmarkStart w:id="98" w:name="bookmark48"/>
      <w:bookmarkEnd w:id="98"/>
      <w:bookmarkStart w:id="99" w:name="_Toc6814"/>
      <w:r>
        <w:rPr>
          <w:rFonts w:hint="eastAsia" w:ascii="黑体" w:hAnsi="黑体" w:eastAsia="黑体" w:cs="黑体"/>
          <w:b w:val="0"/>
          <w:bCs w:val="0"/>
          <w:spacing w:val="-3"/>
          <w:sz w:val="32"/>
          <w:szCs w:val="32"/>
          <w:highlight w:val="none"/>
          <w:lang w:val="en-US" w:eastAsia="zh-CN"/>
        </w:rPr>
        <w:t>附件1</w:t>
      </w:r>
      <w:bookmarkEnd w:id="99"/>
    </w:p>
    <w:p w14:paraId="24E35A78">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1"/>
        <w:rPr>
          <w:rFonts w:hint="eastAsia" w:ascii="黑体" w:hAnsi="黑体" w:eastAsia="黑体" w:cs="黑体"/>
          <w:b w:val="0"/>
          <w:bCs w:val="0"/>
          <w:spacing w:val="-3"/>
          <w:sz w:val="32"/>
          <w:szCs w:val="32"/>
          <w:highlight w:val="none"/>
          <w:lang w:val="en-US" w:eastAsia="zh-CN"/>
        </w:rPr>
      </w:pPr>
    </w:p>
    <w:p w14:paraId="61817C64">
      <w:pPr>
        <w:keepNext w:val="0"/>
        <w:keepLines w:val="0"/>
        <w:pageBreakBefore w:val="0"/>
        <w:widowControl/>
        <w:kinsoku w:val="0"/>
        <w:wordWrap/>
        <w:overflowPunct/>
        <w:topLinePunct w:val="0"/>
        <w:autoSpaceDE w:val="0"/>
        <w:autoSpaceDN w:val="0"/>
        <w:bidi w:val="0"/>
        <w:adjustRightInd w:val="0"/>
        <w:snapToGrid w:val="0"/>
        <w:spacing w:line="560" w:lineRule="exact"/>
        <w:ind w:firstLine="868" w:firstLineChars="200"/>
        <w:jc w:val="center"/>
        <w:textAlignment w:val="baseline"/>
        <w:outlineLvl w:val="1"/>
        <w:rPr>
          <w:rFonts w:hint="eastAsia" w:ascii="方正小标宋简体" w:hAnsi="方正小标宋简体" w:eastAsia="方正小标宋简体" w:cs="方正小标宋简体"/>
          <w:b w:val="0"/>
          <w:bCs w:val="0"/>
          <w:spacing w:val="-3"/>
          <w:sz w:val="44"/>
          <w:szCs w:val="44"/>
          <w:highlight w:val="none"/>
          <w:lang w:eastAsia="zh-CN"/>
        </w:rPr>
      </w:pPr>
      <w:bookmarkStart w:id="100" w:name="_Toc25785"/>
      <w:bookmarkStart w:id="101" w:name="_Toc20640"/>
      <w:r>
        <w:rPr>
          <w:rFonts w:hint="eastAsia" w:ascii="方正小标宋简体" w:hAnsi="方正小标宋简体" w:eastAsia="方正小标宋简体" w:cs="方正小标宋简体"/>
          <w:b w:val="0"/>
          <w:bCs w:val="0"/>
          <w:spacing w:val="-3"/>
          <w:sz w:val="44"/>
          <w:szCs w:val="44"/>
          <w:highlight w:val="none"/>
          <w:lang w:eastAsia="zh-CN"/>
        </w:rPr>
        <w:t>特种设备事故应急救援组织指挥体系图</w:t>
      </w:r>
      <w:bookmarkEnd w:id="100"/>
      <w:bookmarkEnd w:id="101"/>
    </w:p>
    <w:p w14:paraId="4729F7B8">
      <w:pPr>
        <w:spacing w:line="560" w:lineRule="exact"/>
        <w:ind w:firstLine="619" w:firstLineChars="200"/>
        <w:jc w:val="both"/>
        <w:outlineLvl w:val="1"/>
        <w:rPr>
          <w:rFonts w:hint="eastAsia" w:ascii="楷体" w:hAnsi="楷体" w:eastAsia="楷体" w:cs="楷体"/>
          <w:b/>
          <w:bCs/>
          <w:spacing w:val="-6"/>
          <w:sz w:val="32"/>
          <w:szCs w:val="32"/>
          <w:lang w:eastAsia="zh-CN"/>
        </w:rPr>
      </w:pPr>
    </w:p>
    <w:p w14:paraId="5FBC33B8">
      <w:pPr>
        <w:pStyle w:val="4"/>
        <w:spacing w:line="253" w:lineRule="auto"/>
        <w:ind w:firstLine="420" w:firstLineChars="200"/>
        <w:rPr>
          <w:sz w:val="21"/>
        </w:rPr>
      </w:pPr>
      <w:r>
        <w:rPr>
          <w:sz w:val="21"/>
        </w:rPr>
        <mc:AlternateContent>
          <mc:Choice Requires="wps">
            <w:drawing>
              <wp:anchor distT="0" distB="0" distL="114300" distR="114300" simplePos="0" relativeHeight="251670528" behindDoc="0" locked="0" layoutInCell="1" allowOverlap="1">
                <wp:simplePos x="0" y="0"/>
                <wp:positionH relativeFrom="column">
                  <wp:posOffset>1482725</wp:posOffset>
                </wp:positionH>
                <wp:positionV relativeFrom="paragraph">
                  <wp:posOffset>5286375</wp:posOffset>
                </wp:positionV>
                <wp:extent cx="3058160" cy="1731645"/>
                <wp:effectExtent l="22225" t="15875" r="43815" b="20320"/>
                <wp:wrapNone/>
                <wp:docPr id="17" name="爆炸形 1 17"/>
                <wp:cNvGraphicFramePr/>
                <a:graphic xmlns:a="http://schemas.openxmlformats.org/drawingml/2006/main">
                  <a:graphicData uri="http://schemas.microsoft.com/office/word/2010/wordprocessingShape">
                    <wps:wsp>
                      <wps:cNvSpPr/>
                      <wps:spPr>
                        <a:xfrm>
                          <a:off x="2656205" y="7914005"/>
                          <a:ext cx="3058160" cy="1731645"/>
                        </a:xfrm>
                        <a:prstGeom prst="irregularSeal1">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116.75pt;margin-top:416.25pt;height:136.35pt;width:240.8pt;z-index:251670528;v-text-anchor:middle;mso-width-relative:page;mso-height-relative:page;" filled="f" stroked="t" coordsize="21600,21600" o:gfxdata="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Z2lM42QAAAAwBAAAPAAAAAAAA&#10;AAEAIAAAACIAAABkcnMvZG93bnJldi54bWxQSwECFAAUAAAACACHTuJAjvhz4IMCAADpBAAADgAA&#10;AAAAAAABACAAAAAoAQAAZHJzL2Uyb0RvYy54bWxQSwUGAAAAAAYABgBZAQAAHQYAAAAA&#10;">
                <v:fill on="f" focussize="0,0"/>
                <v:stroke weight="1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4134485</wp:posOffset>
                </wp:positionH>
                <wp:positionV relativeFrom="paragraph">
                  <wp:posOffset>3896995</wp:posOffset>
                </wp:positionV>
                <wp:extent cx="1426210" cy="894080"/>
                <wp:effectExtent l="4445" t="4445" r="17145" b="15875"/>
                <wp:wrapNone/>
                <wp:docPr id="16" name="文本框 16"/>
                <wp:cNvGraphicFramePr/>
                <a:graphic xmlns:a="http://schemas.openxmlformats.org/drawingml/2006/main">
                  <a:graphicData uri="http://schemas.microsoft.com/office/word/2010/wordprocessingShape">
                    <wps:wsp>
                      <wps:cNvSpPr txBox="1"/>
                      <wps:spPr>
                        <a:xfrm>
                          <a:off x="0" y="0"/>
                          <a:ext cx="1426210"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2A1D569">
                            <w:pPr>
                              <w:rPr>
                                <w:rFonts w:hint="eastAsia"/>
                                <w:lang w:eastAsia="zh-CN"/>
                              </w:rPr>
                            </w:pPr>
                            <w:r>
                              <w:rPr>
                                <w:rFonts w:hint="eastAsia" w:eastAsia="宋体"/>
                                <w:sz w:val="32"/>
                                <w:szCs w:val="32"/>
                                <w:lang w:eastAsia="zh-CN"/>
                              </w:rPr>
                              <w:t>县区级人民政府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55pt;margin-top:306.85pt;height:70.4pt;width:112.3pt;z-index:251669504;mso-width-relative:page;mso-height-relative:page;" fillcolor="#FFFFFF [3201]" filled="t" stroked="t" coordsize="21600,21600" o:gfxdata="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DtRjDY&#10;AAAACwEAAA8AAAAAAAAAAQAgAAAAIgAAAGRycy9kb3ducmV2LnhtbFBLAQIUABQAAAAIAIdO4kB5&#10;X6qdWQIAALkEAAAOAAAAAAAAAAEAIAAAACcBAABkcnMvZTJvRG9jLnhtbFBLBQYAAAAABgAGAFkB&#10;AADyBQAAAAA=&#10;">
                <v:fill on="t" focussize="0,0"/>
                <v:stroke weight="0.5pt" color="#000000 [3204]" joinstyle="round"/>
                <v:imagedata o:title=""/>
                <o:lock v:ext="edit" aspectratio="f"/>
                <v:textbox>
                  <w:txbxContent>
                    <w:p w14:paraId="62A1D569">
                      <w:pPr>
                        <w:rPr>
                          <w:rFonts w:hint="eastAsia"/>
                          <w:lang w:eastAsia="zh-CN"/>
                        </w:rPr>
                      </w:pPr>
                      <w:r>
                        <w:rPr>
                          <w:rFonts w:hint="eastAsia" w:eastAsia="宋体"/>
                          <w:sz w:val="32"/>
                          <w:szCs w:val="32"/>
                          <w:lang w:eastAsia="zh-CN"/>
                        </w:rPr>
                        <w:t>县区级人民政府</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4140835</wp:posOffset>
                </wp:positionH>
                <wp:positionV relativeFrom="paragraph">
                  <wp:posOffset>2867025</wp:posOffset>
                </wp:positionV>
                <wp:extent cx="1419860" cy="630555"/>
                <wp:effectExtent l="4445" t="4445" r="8255" b="5080"/>
                <wp:wrapNone/>
                <wp:docPr id="15" name="文本框 15"/>
                <wp:cNvGraphicFramePr/>
                <a:graphic xmlns:a="http://schemas.openxmlformats.org/drawingml/2006/main">
                  <a:graphicData uri="http://schemas.microsoft.com/office/word/2010/wordprocessingShape">
                    <wps:wsp>
                      <wps:cNvSpPr txBox="1"/>
                      <wps:spPr>
                        <a:xfrm>
                          <a:off x="0" y="0"/>
                          <a:ext cx="1419860" cy="6305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AA33DA0">
                            <w:pPr>
                              <w:jc w:val="center"/>
                              <w:rPr>
                                <w:rFonts w:hint="eastAsia" w:eastAsia="宋体"/>
                                <w:sz w:val="32"/>
                                <w:szCs w:val="32"/>
                                <w:lang w:eastAsia="zh-CN"/>
                              </w:rPr>
                            </w:pPr>
                            <w:r>
                              <w:rPr>
                                <w:rFonts w:hint="eastAsia" w:eastAsia="宋体"/>
                                <w:sz w:val="32"/>
                                <w:szCs w:val="32"/>
                                <w:lang w:eastAsia="zh-CN"/>
                              </w:rPr>
                              <w:t>市级</w:t>
                            </w:r>
                          </w:p>
                          <w:p w14:paraId="3A8E34B1">
                            <w:pPr>
                              <w:jc w:val="center"/>
                              <w:rPr>
                                <w:rFonts w:hint="eastAsia" w:eastAsia="宋体"/>
                                <w:sz w:val="32"/>
                                <w:szCs w:val="32"/>
                                <w:lang w:eastAsia="zh-CN"/>
                              </w:rPr>
                            </w:pPr>
                            <w:r>
                              <w:rPr>
                                <w:rFonts w:hint="eastAsia" w:eastAsia="宋体"/>
                                <w:sz w:val="32"/>
                                <w:szCs w:val="32"/>
                                <w:lang w:eastAsia="zh-CN"/>
                              </w:rPr>
                              <w:t>人民政府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6.05pt;margin-top:225.75pt;height:49.65pt;width:111.8pt;z-index:251668480;mso-width-relative:page;mso-height-relative:page;" fillcolor="#FFFFFF [3201]" filled="t" stroked="t" coordsize="21600,21600" o:gfxdata="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Z0HotgA&#10;AAALAQAADwAAAAAAAAABACAAAAAiAAAAZHJzL2Rvd25yZXYueG1sUEsBAhQAFAAAAAgAh07iQLUH&#10;hGxYAgAAuQQAAA4AAAAAAAAAAQAgAAAAJwEAAGRycy9lMm9Eb2MueG1sUEsFBgAAAAAGAAYAWQEA&#10;APEFAAAAAA==&#10;">
                <v:fill on="t" focussize="0,0"/>
                <v:stroke weight="0.5pt" color="#000000 [3204]" joinstyle="round"/>
                <v:imagedata o:title=""/>
                <o:lock v:ext="edit" aspectratio="f"/>
                <v:textbox>
                  <w:txbxContent>
                    <w:p w14:paraId="2AA33DA0">
                      <w:pPr>
                        <w:jc w:val="center"/>
                        <w:rPr>
                          <w:rFonts w:hint="eastAsia" w:eastAsia="宋体"/>
                          <w:sz w:val="32"/>
                          <w:szCs w:val="32"/>
                          <w:lang w:eastAsia="zh-CN"/>
                        </w:rPr>
                      </w:pPr>
                      <w:r>
                        <w:rPr>
                          <w:rFonts w:hint="eastAsia" w:eastAsia="宋体"/>
                          <w:sz w:val="32"/>
                          <w:szCs w:val="32"/>
                          <w:lang w:eastAsia="zh-CN"/>
                        </w:rPr>
                        <w:t>市级</w:t>
                      </w:r>
                    </w:p>
                    <w:p w14:paraId="3A8E34B1">
                      <w:pPr>
                        <w:jc w:val="center"/>
                        <w:rPr>
                          <w:rFonts w:hint="eastAsia" w:eastAsia="宋体"/>
                          <w:sz w:val="32"/>
                          <w:szCs w:val="32"/>
                          <w:lang w:eastAsia="zh-CN"/>
                        </w:rPr>
                      </w:pPr>
                      <w:r>
                        <w:rPr>
                          <w:rFonts w:hint="eastAsia" w:eastAsia="宋体"/>
                          <w:sz w:val="32"/>
                          <w:szCs w:val="32"/>
                          <w:lang w:eastAsia="zh-CN"/>
                        </w:rPr>
                        <w:t>人民政府</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2258060</wp:posOffset>
                </wp:positionH>
                <wp:positionV relativeFrom="paragraph">
                  <wp:posOffset>3896995</wp:posOffset>
                </wp:positionV>
                <wp:extent cx="1426210" cy="606425"/>
                <wp:effectExtent l="4445" t="4445" r="17145" b="13970"/>
                <wp:wrapNone/>
                <wp:docPr id="14" name="文本框 14"/>
                <wp:cNvGraphicFramePr/>
                <a:graphic xmlns:a="http://schemas.openxmlformats.org/drawingml/2006/main">
                  <a:graphicData uri="http://schemas.microsoft.com/office/word/2010/wordprocessingShape">
                    <wps:wsp>
                      <wps:cNvSpPr txBox="1"/>
                      <wps:spPr>
                        <a:xfrm>
                          <a:off x="0" y="0"/>
                          <a:ext cx="1426210" cy="606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C95FA92">
                            <w:pPr>
                              <w:rPr>
                                <w:rFonts w:hint="eastAsia"/>
                                <w:lang w:eastAsia="zh-CN"/>
                              </w:rPr>
                            </w:pPr>
                            <w:r>
                              <w:rPr>
                                <w:rFonts w:hint="eastAsia" w:eastAsia="宋体"/>
                                <w:sz w:val="32"/>
                                <w:szCs w:val="32"/>
                                <w:lang w:eastAsia="zh-CN"/>
                              </w:rPr>
                              <w:t>事故现场指挥部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8pt;margin-top:306.85pt;height:47.75pt;width:112.3pt;z-index:251667456;mso-width-relative:page;mso-height-relative:page;" fillcolor="#FFFFFF [3201]" filled="t" stroked="t" coordsize="21600,21600" o:gfxdata="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WpkhuNgA&#10;AAALAQAADwAAAAAAAAABACAAAAAiAAAAZHJzL2Rvd25yZXYueG1sUEsBAhQAFAAAAAgAh07iQIzh&#10;+41YAgAAuQQAAA4AAAAAAAAAAQAgAAAAJwEAAGRycy9lMm9Eb2MueG1sUEsFBgAAAAAGAAYAWQEA&#10;APEFAAAAAA==&#10;">
                <v:fill on="t" focussize="0,0"/>
                <v:stroke weight="0.5pt" color="#000000 [3204]" joinstyle="round"/>
                <v:imagedata o:title=""/>
                <o:lock v:ext="edit" aspectratio="f"/>
                <v:textbox>
                  <w:txbxContent>
                    <w:p w14:paraId="7C95FA92">
                      <w:pPr>
                        <w:rPr>
                          <w:rFonts w:hint="eastAsia"/>
                          <w:lang w:eastAsia="zh-CN"/>
                        </w:rPr>
                      </w:pPr>
                      <w:r>
                        <w:rPr>
                          <w:rFonts w:hint="eastAsia" w:eastAsia="宋体"/>
                          <w:sz w:val="32"/>
                          <w:szCs w:val="32"/>
                          <w:lang w:eastAsia="zh-CN"/>
                        </w:rPr>
                        <w:t>事故现场指挥部</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214630</wp:posOffset>
                </wp:positionH>
                <wp:positionV relativeFrom="paragraph">
                  <wp:posOffset>3896995</wp:posOffset>
                </wp:positionV>
                <wp:extent cx="1426210" cy="606425"/>
                <wp:effectExtent l="4445" t="4445" r="17145" b="13970"/>
                <wp:wrapNone/>
                <wp:docPr id="13" name="文本框 13"/>
                <wp:cNvGraphicFramePr/>
                <a:graphic xmlns:a="http://schemas.openxmlformats.org/drawingml/2006/main">
                  <a:graphicData uri="http://schemas.microsoft.com/office/word/2010/wordprocessingShape">
                    <wps:wsp>
                      <wps:cNvSpPr txBox="1"/>
                      <wps:spPr>
                        <a:xfrm>
                          <a:off x="0" y="0"/>
                          <a:ext cx="1426210" cy="606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2C3814E">
                            <w:pPr>
                              <w:jc w:val="left"/>
                              <w:rPr>
                                <w:rFonts w:hint="eastAsia" w:eastAsia="宋体"/>
                                <w:sz w:val="32"/>
                                <w:szCs w:val="32"/>
                                <w:lang w:eastAsia="zh-CN"/>
                              </w:rPr>
                            </w:pPr>
                            <w:r>
                              <w:rPr>
                                <w:rFonts w:hint="eastAsia" w:eastAsia="宋体"/>
                                <w:sz w:val="32"/>
                                <w:szCs w:val="32"/>
                                <w:lang w:eastAsia="zh-CN"/>
                              </w:rPr>
                              <w:t>区市场监督管理部门</w:t>
                            </w:r>
                          </w:p>
                          <w:p w14:paraId="59E8B209">
                            <w:pPr>
                              <w:rPr>
                                <w:rFonts w:hint="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9pt;margin-top:306.85pt;height:47.75pt;width:112.3pt;z-index:251666432;mso-width-relative:page;mso-height-relative:page;" fillcolor="#FFFFFF [3201]" filled="t" stroked="t" coordsize="21600,21600" o:gfxdata="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XmpiPXAAAA&#10;CgEAAA8AAAAAAAAAAQAgAAAAIgAAAGRycy9kb3ducmV2LnhtbFBLAQIUABQAAAAIAIdO4kB/zZsB&#10;VwIAALkEAAAOAAAAAAAAAAEAIAAAACYBAABkcnMvZTJvRG9jLnhtbFBLBQYAAAAABgAGAFkBAADv&#10;BQAAAAA=&#10;">
                <v:fill on="t" focussize="0,0"/>
                <v:stroke weight="0.5pt" color="#000000 [3204]" joinstyle="round"/>
                <v:imagedata o:title=""/>
                <o:lock v:ext="edit" aspectratio="f"/>
                <v:textbox>
                  <w:txbxContent>
                    <w:p w14:paraId="42C3814E">
                      <w:pPr>
                        <w:jc w:val="left"/>
                        <w:rPr>
                          <w:rFonts w:hint="eastAsia" w:eastAsia="宋体"/>
                          <w:sz w:val="32"/>
                          <w:szCs w:val="32"/>
                          <w:lang w:eastAsia="zh-CN"/>
                        </w:rPr>
                      </w:pPr>
                      <w:r>
                        <w:rPr>
                          <w:rFonts w:hint="eastAsia" w:eastAsia="宋体"/>
                          <w:sz w:val="32"/>
                          <w:szCs w:val="32"/>
                          <w:lang w:eastAsia="zh-CN"/>
                        </w:rPr>
                        <w:t>区市场监督管理部门</w:t>
                      </w:r>
                    </w:p>
                    <w:p w14:paraId="59E8B209">
                      <w:pPr>
                        <w:rPr>
                          <w:rFonts w:hint="eastAsia"/>
                          <w:lang w:eastAsia="zh-CN"/>
                        </w:rPr>
                      </w:pP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214630</wp:posOffset>
                </wp:positionH>
                <wp:positionV relativeFrom="paragraph">
                  <wp:posOffset>2867025</wp:posOffset>
                </wp:positionV>
                <wp:extent cx="1426210" cy="606425"/>
                <wp:effectExtent l="4445" t="4445" r="17145" b="13970"/>
                <wp:wrapNone/>
                <wp:docPr id="12" name="文本框 12"/>
                <wp:cNvGraphicFramePr/>
                <a:graphic xmlns:a="http://schemas.openxmlformats.org/drawingml/2006/main">
                  <a:graphicData uri="http://schemas.microsoft.com/office/word/2010/wordprocessingShape">
                    <wps:wsp>
                      <wps:cNvSpPr txBox="1"/>
                      <wps:spPr>
                        <a:xfrm>
                          <a:off x="0" y="0"/>
                          <a:ext cx="1426210" cy="606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9684B28">
                            <w:pPr>
                              <w:jc w:val="left"/>
                              <w:rPr>
                                <w:rFonts w:hint="eastAsia" w:eastAsia="宋体"/>
                                <w:sz w:val="32"/>
                                <w:szCs w:val="32"/>
                                <w:lang w:eastAsia="zh-CN"/>
                              </w:rPr>
                            </w:pPr>
                            <w:r>
                              <w:rPr>
                                <w:rFonts w:hint="eastAsia" w:eastAsia="宋体"/>
                                <w:sz w:val="32"/>
                                <w:szCs w:val="32"/>
                                <w:lang w:eastAsia="zh-CN"/>
                              </w:rPr>
                              <w:t>市市场监督管理部门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9pt;margin-top:225.75pt;height:47.75pt;width:112.3pt;z-index:251665408;mso-width-relative:page;mso-height-relative:page;" fillcolor="#FFFFFF [3201]" filled="t" stroked="t" coordsize="21600,21600" o:gfxdata="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i5HwzXAAAA&#10;CgEAAA8AAAAAAAAAAQAgAAAAIgAAAGRycy9kb3ducmV2LnhtbFBLAQIUABQAAAAIAIdO4kCZdZ1w&#10;VwIAALkEAAAOAAAAAAAAAAEAIAAAACYBAABkcnMvZTJvRG9jLnhtbFBLBQYAAAAABgAGAFkBAADv&#10;BQAAAAA=&#10;">
                <v:fill on="t" focussize="0,0"/>
                <v:stroke weight="0.5pt" color="#000000 [3204]" joinstyle="round"/>
                <v:imagedata o:title=""/>
                <o:lock v:ext="edit" aspectratio="f"/>
                <v:textbox>
                  <w:txbxContent>
                    <w:p w14:paraId="29684B28">
                      <w:pPr>
                        <w:jc w:val="left"/>
                        <w:rPr>
                          <w:rFonts w:hint="eastAsia" w:eastAsia="宋体"/>
                          <w:sz w:val="32"/>
                          <w:szCs w:val="32"/>
                          <w:lang w:eastAsia="zh-CN"/>
                        </w:rPr>
                      </w:pPr>
                      <w:r>
                        <w:rPr>
                          <w:rFonts w:hint="eastAsia" w:eastAsia="宋体"/>
                          <w:sz w:val="32"/>
                          <w:szCs w:val="32"/>
                          <w:lang w:eastAsia="zh-CN"/>
                        </w:rPr>
                        <w:t>市市场监督管理部门</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831850</wp:posOffset>
                </wp:positionH>
                <wp:positionV relativeFrom="paragraph">
                  <wp:posOffset>1260475</wp:posOffset>
                </wp:positionV>
                <wp:extent cx="1426210" cy="606425"/>
                <wp:effectExtent l="4445" t="4445" r="17145" b="13970"/>
                <wp:wrapNone/>
                <wp:docPr id="11" name="文本框 11"/>
                <wp:cNvGraphicFramePr/>
                <a:graphic xmlns:a="http://schemas.openxmlformats.org/drawingml/2006/main">
                  <a:graphicData uri="http://schemas.microsoft.com/office/word/2010/wordprocessingShape">
                    <wps:wsp>
                      <wps:cNvSpPr txBox="1"/>
                      <wps:spPr>
                        <a:xfrm>
                          <a:off x="0" y="0"/>
                          <a:ext cx="1426210" cy="606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E377AA7">
                            <w:pPr>
                              <w:jc w:val="left"/>
                              <w:rPr>
                                <w:rFonts w:hint="eastAsia" w:eastAsia="宋体"/>
                                <w:sz w:val="32"/>
                                <w:szCs w:val="32"/>
                                <w:lang w:eastAsia="zh-CN"/>
                              </w:rPr>
                            </w:pPr>
                            <w:r>
                              <w:rPr>
                                <w:rFonts w:hint="eastAsia" w:eastAsia="宋体"/>
                                <w:sz w:val="32"/>
                                <w:szCs w:val="32"/>
                                <w:lang w:eastAsia="zh-CN"/>
                              </w:rPr>
                              <w:t>特种设备应急救援专家库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5pt;margin-top:99.25pt;height:47.75pt;width:112.3pt;z-index:251664384;mso-width-relative:page;mso-height-relative:page;" fillcolor="#FFFFFF [3201]" filled="t" stroked="t" coordsize="21600,21600" o:gfxdata="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jmNRE2AAA&#10;AAsBAAAPAAAAAAAAAAEAIAAAACIAAABkcnMvZG93bnJldi54bWxQSwECFAAUAAAACACHTuJAs7yW&#10;41cCAAC5BAAADgAAAAAAAAABACAAAAAnAQAAZHJzL2Uyb0RvYy54bWxQSwUGAAAAAAYABgBZAQAA&#10;8AUAAAAA&#10;">
                <v:fill on="t" focussize="0,0"/>
                <v:stroke weight="0.5pt" color="#000000 [3204]" joinstyle="round"/>
                <v:imagedata o:title=""/>
                <o:lock v:ext="edit" aspectratio="f"/>
                <v:textbox>
                  <w:txbxContent>
                    <w:p w14:paraId="7E377AA7">
                      <w:pPr>
                        <w:jc w:val="left"/>
                        <w:rPr>
                          <w:rFonts w:hint="eastAsia" w:eastAsia="宋体"/>
                          <w:sz w:val="32"/>
                          <w:szCs w:val="32"/>
                          <w:lang w:eastAsia="zh-CN"/>
                        </w:rPr>
                      </w:pPr>
                      <w:r>
                        <w:rPr>
                          <w:rFonts w:hint="eastAsia" w:eastAsia="宋体"/>
                          <w:sz w:val="32"/>
                          <w:szCs w:val="32"/>
                          <w:lang w:eastAsia="zh-CN"/>
                        </w:rPr>
                        <w:t>特种设备应急救援专家库</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2074545</wp:posOffset>
                </wp:positionH>
                <wp:positionV relativeFrom="paragraph">
                  <wp:posOffset>9525</wp:posOffset>
                </wp:positionV>
                <wp:extent cx="1426210" cy="606425"/>
                <wp:effectExtent l="4445" t="4445" r="17145" b="13970"/>
                <wp:wrapNone/>
                <wp:docPr id="9" name="文本框 9"/>
                <wp:cNvGraphicFramePr/>
                <a:graphic xmlns:a="http://schemas.openxmlformats.org/drawingml/2006/main">
                  <a:graphicData uri="http://schemas.microsoft.com/office/word/2010/wordprocessingShape">
                    <wps:wsp>
                      <wps:cNvSpPr txBox="1"/>
                      <wps:spPr>
                        <a:xfrm>
                          <a:off x="0" y="0"/>
                          <a:ext cx="1426210" cy="606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0D20199">
                            <w:pPr>
                              <w:jc w:val="left"/>
                              <w:rPr>
                                <w:rFonts w:hint="eastAsia" w:eastAsia="宋体"/>
                                <w:sz w:val="32"/>
                                <w:szCs w:val="32"/>
                                <w:lang w:eastAsia="zh-CN"/>
                              </w:rPr>
                            </w:pPr>
                            <w:r>
                              <w:rPr>
                                <w:rFonts w:hint="eastAsia" w:eastAsia="宋体"/>
                                <w:sz w:val="32"/>
                                <w:szCs w:val="32"/>
                                <w:lang w:eastAsia="zh-CN"/>
                              </w:rPr>
                              <w:t>国家、省市场监管总局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3.35pt;margin-top:0.75pt;height:47.75pt;width:112.3pt;z-index:251662336;mso-width-relative:page;mso-height-relative:page;" fillcolor="#FFFFFF [3201]" filled="t" stroked="t" coordsize="21600,21600" o:gfxdata="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p0k1QAAAAgB&#10;AAAPAAAAAAAAAAEAIAAAACIAAABkcnMvZG93bnJldi54bWxQSwECFAAUAAAACACHTuJAr0DIPlcC&#10;AAC3BAAADgAAAAAAAAABACAAAAAkAQAAZHJzL2Uyb0RvYy54bWxQSwUGAAAAAAYABgBZAQAA7QUA&#10;AAAA&#10;">
                <v:fill on="t" focussize="0,0"/>
                <v:stroke weight="0.5pt" color="#000000 [3204]" joinstyle="round"/>
                <v:imagedata o:title=""/>
                <o:lock v:ext="edit" aspectratio="f"/>
                <v:textbox>
                  <w:txbxContent>
                    <w:p w14:paraId="30D20199">
                      <w:pPr>
                        <w:jc w:val="left"/>
                        <w:rPr>
                          <w:rFonts w:hint="eastAsia" w:eastAsia="宋体"/>
                          <w:sz w:val="32"/>
                          <w:szCs w:val="32"/>
                          <w:lang w:eastAsia="zh-CN"/>
                        </w:rPr>
                      </w:pPr>
                      <w:r>
                        <w:rPr>
                          <w:rFonts w:hint="eastAsia" w:eastAsia="宋体"/>
                          <w:sz w:val="32"/>
                          <w:szCs w:val="32"/>
                          <w:lang w:eastAsia="zh-CN"/>
                        </w:rPr>
                        <w:t>国家、省市场监管总局</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214630</wp:posOffset>
                </wp:positionH>
                <wp:positionV relativeFrom="paragraph">
                  <wp:posOffset>101600</wp:posOffset>
                </wp:positionV>
                <wp:extent cx="1017905" cy="425450"/>
                <wp:effectExtent l="4445" t="4445" r="13970" b="12065"/>
                <wp:wrapNone/>
                <wp:docPr id="8" name="文本框 8"/>
                <wp:cNvGraphicFramePr/>
                <a:graphic xmlns:a="http://schemas.openxmlformats.org/drawingml/2006/main">
                  <a:graphicData uri="http://schemas.microsoft.com/office/word/2010/wordprocessingShape">
                    <wps:wsp>
                      <wps:cNvSpPr txBox="1"/>
                      <wps:spPr>
                        <a:xfrm>
                          <a:off x="1301115" y="2432685"/>
                          <a:ext cx="1017905" cy="425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550E550">
                            <w:pPr>
                              <w:jc w:val="center"/>
                              <w:rPr>
                                <w:rFonts w:hint="eastAsia" w:eastAsia="宋体"/>
                                <w:sz w:val="32"/>
                                <w:szCs w:val="32"/>
                                <w:lang w:eastAsia="zh-CN"/>
                              </w:rPr>
                            </w:pPr>
                            <w:r>
                              <w:rPr>
                                <w:rFonts w:hint="eastAsia" w:eastAsia="宋体"/>
                                <w:sz w:val="32"/>
                                <w:szCs w:val="32"/>
                                <w:lang w:eastAsia="zh-CN"/>
                              </w:rPr>
                              <w:t>配合部门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9pt;margin-top:8pt;height:33.5pt;width:80.15pt;z-index:251661312;mso-width-relative:page;mso-height-relative:page;" fillcolor="#FFFFFF [3201]" filled="t" stroked="t" coordsize="21600,21600" o:gfxdata="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Fgtt01AAAAAgBAAAPAAAAAAAAAAEAIAAAACIAAABkcnMvZG93bnJldi54bWxQSwECFAAUAAAA&#10;CACHTuJAEe6zHWQCAADDBAAADgAAAAAAAAABACAAAAAjAQAAZHJzL2Uyb0RvYy54bWxQSwUGAAAA&#10;AAYABgBZAQAA+QUAAAAA&#10;">
                <v:fill on="t" focussize="0,0"/>
                <v:stroke weight="0.5pt" color="#000000 [3204]" joinstyle="round"/>
                <v:imagedata o:title=""/>
                <o:lock v:ext="edit" aspectratio="f"/>
                <v:textbox>
                  <w:txbxContent>
                    <w:p w14:paraId="1550E550">
                      <w:pPr>
                        <w:jc w:val="center"/>
                        <w:rPr>
                          <w:rFonts w:hint="eastAsia" w:eastAsia="宋体"/>
                          <w:sz w:val="32"/>
                          <w:szCs w:val="32"/>
                          <w:lang w:eastAsia="zh-CN"/>
                        </w:rPr>
                      </w:pPr>
                      <w:r>
                        <w:rPr>
                          <w:rFonts w:hint="eastAsia" w:eastAsia="宋体"/>
                          <w:sz w:val="32"/>
                          <w:szCs w:val="32"/>
                          <w:lang w:eastAsia="zh-CN"/>
                        </w:rPr>
                        <w:t>配合部门</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4140835</wp:posOffset>
                </wp:positionH>
                <wp:positionV relativeFrom="paragraph">
                  <wp:posOffset>101600</wp:posOffset>
                </wp:positionV>
                <wp:extent cx="1419860" cy="425450"/>
                <wp:effectExtent l="4445" t="4445" r="8255" b="12065"/>
                <wp:wrapNone/>
                <wp:docPr id="10" name="文本框 10"/>
                <wp:cNvGraphicFramePr/>
                <a:graphic xmlns:a="http://schemas.openxmlformats.org/drawingml/2006/main">
                  <a:graphicData uri="http://schemas.microsoft.com/office/word/2010/wordprocessingShape">
                    <wps:wsp>
                      <wps:cNvSpPr txBox="1"/>
                      <wps:spPr>
                        <a:xfrm>
                          <a:off x="0" y="0"/>
                          <a:ext cx="1419860" cy="425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DAF1CE3">
                            <w:pPr>
                              <w:jc w:val="center"/>
                              <w:rPr>
                                <w:rFonts w:hint="eastAsia" w:eastAsia="宋体"/>
                                <w:sz w:val="32"/>
                                <w:szCs w:val="32"/>
                                <w:lang w:eastAsia="zh-CN"/>
                              </w:rPr>
                            </w:pPr>
                            <w:r>
                              <w:rPr>
                                <w:rFonts w:hint="eastAsia" w:eastAsia="宋体"/>
                                <w:sz w:val="32"/>
                                <w:szCs w:val="32"/>
                                <w:lang w:eastAsia="zh-CN"/>
                              </w:rPr>
                              <w:t>省级人民政府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6.05pt;margin-top:8pt;height:33.5pt;width:111.8pt;z-index:251663360;mso-width-relative:page;mso-height-relative:page;" fillcolor="#FFFFFF [3201]" filled="t" stroked="t" coordsize="21600,21600" o:gfxdata="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qc7NNYAAAAJ&#10;AQAADwAAAAAAAAABACAAAAAiAAAAZHJzL2Rvd25yZXYueG1sUEsBAhQAFAAAAAgAh07iQOYpDXRX&#10;AgAAuQQAAA4AAAAAAAAAAQAgAAAAJQEAAGRycy9lMm9Eb2MueG1sUEsFBgAAAAAGAAYAWQEAAO4F&#10;AAAAAA==&#10;">
                <v:fill on="t" focussize="0,0"/>
                <v:stroke weight="0.5pt" color="#000000 [3204]" joinstyle="round"/>
                <v:imagedata o:title=""/>
                <o:lock v:ext="edit" aspectratio="f"/>
                <v:textbox>
                  <w:txbxContent>
                    <w:p w14:paraId="2DAF1CE3">
                      <w:pPr>
                        <w:jc w:val="center"/>
                        <w:rPr>
                          <w:rFonts w:hint="eastAsia" w:eastAsia="宋体"/>
                          <w:sz w:val="32"/>
                          <w:szCs w:val="32"/>
                          <w:lang w:eastAsia="zh-CN"/>
                        </w:rPr>
                      </w:pPr>
                      <w:r>
                        <w:rPr>
                          <w:rFonts w:hint="eastAsia" w:eastAsia="宋体"/>
                          <w:sz w:val="32"/>
                          <w:szCs w:val="32"/>
                          <w:lang w:eastAsia="zh-CN"/>
                        </w:rPr>
                        <w:t>省级人民政府</w:t>
                      </w:r>
                    </w:p>
                  </w:txbxContent>
                </v:textbox>
              </v:shape>
            </w:pict>
          </mc:Fallback>
        </mc:AlternateContent>
      </w:r>
    </w:p>
    <w:p w14:paraId="4B26A001">
      <w:pPr>
        <w:bidi w:val="0"/>
        <w:rPr>
          <w:lang w:eastAsia="zh-CN"/>
        </w:rPr>
      </w:pPr>
      <w:r>
        <w:rPr>
          <w:sz w:val="21"/>
        </w:rPr>
        <mc:AlternateContent>
          <mc:Choice Requires="wps">
            <w:drawing>
              <wp:anchor distT="0" distB="0" distL="114300" distR="114300" simplePos="0" relativeHeight="251680768" behindDoc="0" locked="0" layoutInCell="1" allowOverlap="1">
                <wp:simplePos x="0" y="0"/>
                <wp:positionH relativeFrom="column">
                  <wp:posOffset>-53975</wp:posOffset>
                </wp:positionH>
                <wp:positionV relativeFrom="paragraph">
                  <wp:posOffset>149225</wp:posOffset>
                </wp:positionV>
                <wp:extent cx="0" cy="1944370"/>
                <wp:effectExtent l="6350" t="0" r="8890" b="6350"/>
                <wp:wrapNone/>
                <wp:docPr id="28" name="直接连接符 28"/>
                <wp:cNvGraphicFramePr/>
                <a:graphic xmlns:a="http://schemas.openxmlformats.org/drawingml/2006/main">
                  <a:graphicData uri="http://schemas.microsoft.com/office/word/2010/wordprocessingShape">
                    <wps:wsp>
                      <wps:cNvCnPr/>
                      <wps:spPr>
                        <a:xfrm>
                          <a:off x="957580" y="2641600"/>
                          <a:ext cx="0" cy="194437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25pt;margin-top:11.75pt;height:153.1pt;width:0pt;z-index:251680768;mso-width-relative:page;mso-height-relative:page;" filled="f" stroked="t" coordsize="21600,21600" o:gfxdata="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pe2/fYAAAACAEAAA8AAAAAAAAAAQAgAAAAIgAAAGRycy9kb3ducmV2LnhtbFBLAQIUABQA&#10;AAAIAIdO4kDszmpt8AEAAL8DAAAOAAAAAAAAAAEAIAAAACcBAABkcnMvZTJvRG9jLnhtbFBLBQYA&#10;AAAABgAGAFkBAACJBQAAAAA=&#10;">
                <v:fill on="f" focussize="0,0"/>
                <v:stroke weight="1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-57785</wp:posOffset>
                </wp:positionH>
                <wp:positionV relativeFrom="paragraph">
                  <wp:posOffset>153035</wp:posOffset>
                </wp:positionV>
                <wp:extent cx="272415" cy="0"/>
                <wp:effectExtent l="0" t="6350" r="0" b="6350"/>
                <wp:wrapNone/>
                <wp:docPr id="27" name="直接连接符 27"/>
                <wp:cNvGraphicFramePr/>
                <a:graphic xmlns:a="http://schemas.openxmlformats.org/drawingml/2006/main">
                  <a:graphicData uri="http://schemas.microsoft.com/office/word/2010/wordprocessingShape">
                    <wps:wsp>
                      <wps:cNvCnPr>
                        <a:stCxn id="8" idx="1"/>
                      </wps:cNvCnPr>
                      <wps:spPr>
                        <a:xfrm flipH="1">
                          <a:off x="957580" y="2645410"/>
                          <a:ext cx="27241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4.55pt;margin-top:12.05pt;height:0pt;width:21.45pt;z-index:251679744;mso-width-relative:page;mso-height-relative:page;" filled="f" stroked="t" coordsize="21600,21600" o:gfxdata="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mAq19QAAAAHAQAADwAAAAAAAAABACAAAAAiAAAAZHJz&#10;L2Rvd25yZXYueG1sUEsBAhQAFAAAAAgAh07iQKzR9OQIAgAA7gMAAA4AAAAAAAAAAQAgAAAAIwEA&#10;AGRycy9lMm9Eb2MueG1sUEsFBgAAAAAGAAYAWQEAAJ0FAAAAAA==&#10;">
                <v:fill on="f" focussize="0,0"/>
                <v:stroke weight="1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3500755</wp:posOffset>
                </wp:positionH>
                <wp:positionV relativeFrom="paragraph">
                  <wp:posOffset>29210</wp:posOffset>
                </wp:positionV>
                <wp:extent cx="640080" cy="0"/>
                <wp:effectExtent l="0" t="38100" r="0" b="38100"/>
                <wp:wrapNone/>
                <wp:docPr id="21" name="直接箭头连接符 21"/>
                <wp:cNvGraphicFramePr/>
                <a:graphic xmlns:a="http://schemas.openxmlformats.org/drawingml/2006/main">
                  <a:graphicData uri="http://schemas.microsoft.com/office/word/2010/wordprocessingShape">
                    <wps:wsp>
                      <wps:cNvCnPr/>
                      <wps:spPr>
                        <a:xfrm>
                          <a:off x="0" y="0"/>
                          <a:ext cx="640080"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75.65pt;margin-top:2.3pt;height:0pt;width:50.4pt;z-index:251674624;mso-width-relative:page;mso-height-relative:page;" filled="f" stroked="t" coordsize="21600,21600" o:gfxdata="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sWitUAAAAHAQAADwAAAAAAAAABACAAAAAiAAAAZHJzL2Rv&#10;d25yZXYueG1sUEsBAhQAFAAAAAgAh07iQFOFUyIEAgAA4wMAAA4AAAAAAAAAAQAgAAAAJAEAAGRy&#10;cy9lMm9Eb2MueG1sUEsFBgAAAAAGAAYAWQEAAJoFAAAAAA==&#10;">
                <v:fill on="f" focussize="0,0"/>
                <v:stroke weight="1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1238885</wp:posOffset>
                </wp:positionH>
                <wp:positionV relativeFrom="paragraph">
                  <wp:posOffset>29210</wp:posOffset>
                </wp:positionV>
                <wp:extent cx="835660" cy="0"/>
                <wp:effectExtent l="0" t="38100" r="2540" b="38100"/>
                <wp:wrapNone/>
                <wp:docPr id="19" name="直接箭头连接符 19"/>
                <wp:cNvGraphicFramePr/>
                <a:graphic xmlns:a="http://schemas.openxmlformats.org/drawingml/2006/main">
                  <a:graphicData uri="http://schemas.microsoft.com/office/word/2010/wordprocessingShape">
                    <wps:wsp>
                      <wps:cNvCnPr/>
                      <wps:spPr>
                        <a:xfrm>
                          <a:off x="2254250" y="2521585"/>
                          <a:ext cx="835660"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97.55pt;margin-top:2.3pt;height:0pt;width:65.8pt;z-index:251672576;mso-width-relative:page;mso-height-relative:page;" filled="f" stroked="t" coordsize="21600,21600" o:gfxdata="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NYjnvUAAAABwEAAA8AAAAAAAAAAQAg&#10;AAAAIgAAAGRycy9kb3ducmV2LnhtbFBLAQIUABQAAAAIAIdO4kBS7h98EgIAAO8DAAAOAAAAAAAA&#10;AAEAIAAAACMBAABkcnMvZTJvRG9jLnhtbFBLBQYAAAAABgAGAFkBAACnBQAAAAA=&#10;">
                <v:fill on="f" focussize="0,0"/>
                <v:stroke weight="1pt" color="#000000 [3213]" miterlimit="8" joinstyle="miter" endarrow="block"/>
                <v:imagedata o:title=""/>
                <o:lock v:ext="edit" aspectratio="f"/>
              </v:shape>
            </w:pict>
          </mc:Fallback>
        </mc:AlternateContent>
      </w:r>
    </w:p>
    <w:p w14:paraId="396BFC5A">
      <w:pPr>
        <w:bidi w:val="0"/>
        <w:rPr>
          <w:lang w:eastAsia="zh-CN"/>
        </w:rPr>
      </w:pPr>
      <w:r>
        <w:rPr>
          <w:sz w:val="21"/>
        </w:rPr>
        <mc:AlternateContent>
          <mc:Choice Requires="wps">
            <w:drawing>
              <wp:anchor distT="0" distB="0" distL="114300" distR="114300" simplePos="0" relativeHeight="251675648" behindDoc="0" locked="0" layoutInCell="1" allowOverlap="1">
                <wp:simplePos x="0" y="0"/>
                <wp:positionH relativeFrom="column">
                  <wp:posOffset>3500755</wp:posOffset>
                </wp:positionH>
                <wp:positionV relativeFrom="paragraph">
                  <wp:posOffset>67310</wp:posOffset>
                </wp:positionV>
                <wp:extent cx="640080" cy="0"/>
                <wp:effectExtent l="0" t="38100" r="0" b="38100"/>
                <wp:wrapNone/>
                <wp:docPr id="22" name="直接箭头连接符 22"/>
                <wp:cNvGraphicFramePr/>
                <a:graphic xmlns:a="http://schemas.openxmlformats.org/drawingml/2006/main">
                  <a:graphicData uri="http://schemas.microsoft.com/office/word/2010/wordprocessingShape">
                    <wps:wsp>
                      <wps:cNvCnPr/>
                      <wps:spPr>
                        <a:xfrm flipH="1">
                          <a:off x="0" y="0"/>
                          <a:ext cx="640080"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75.65pt;margin-top:5.3pt;height:0pt;width:50.4pt;z-index:251675648;mso-width-relative:page;mso-height-relative:page;" filled="f" stroked="t" coordsize="21600,21600" o:gfxdata="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f7G8bUAAAACQEAAA8AAAAAAAAAAQAgAAAAIgAA&#10;AGRycy9kb3ducmV2LnhtbFBLAQIUABQAAAAIAIdO4kBYU8i4DAIAAO0DAAAOAAAAAAAAAAEAIAAA&#10;ACMBAABkcnMvZTJvRG9jLnhtbFBLBQYAAAAABgAGAFkBAAChBQAAAAA=&#10;">
                <v:fill on="f" focussize="0,0"/>
                <v:stroke weight="1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1238885</wp:posOffset>
                </wp:positionH>
                <wp:positionV relativeFrom="paragraph">
                  <wp:posOffset>67310</wp:posOffset>
                </wp:positionV>
                <wp:extent cx="835660" cy="0"/>
                <wp:effectExtent l="0" t="38100" r="2540" b="38100"/>
                <wp:wrapNone/>
                <wp:docPr id="20" name="直接箭头连接符 20"/>
                <wp:cNvGraphicFramePr/>
                <a:graphic xmlns:a="http://schemas.openxmlformats.org/drawingml/2006/main">
                  <a:graphicData uri="http://schemas.microsoft.com/office/word/2010/wordprocessingShape">
                    <wps:wsp>
                      <wps:cNvCnPr/>
                      <wps:spPr>
                        <a:xfrm flipH="1">
                          <a:off x="0" y="0"/>
                          <a:ext cx="835660"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97.55pt;margin-top:5.3pt;height:0pt;width:65.8pt;z-index:251673600;mso-width-relative:page;mso-height-relative:page;" filled="f" stroked="t" coordsize="21600,21600" o:gfxdata="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Hzn5tUAAAAJAQAADwAAAAAAAAABACAAAAAiAAAA&#10;ZHJzL2Rvd25yZXYueG1sUEsBAhQAFAAAAAgAh07iQIGdkFoKAgAA7QMAAA4AAAAAAAAAAQAgAAAA&#10;JAEAAGRycy9lMm9Eb2MueG1sUEsFBgAAAAAGAAYAWQEAAKAFAAAAAA==&#10;">
                <v:fill on="f" focussize="0,0"/>
                <v:stroke weight="1pt" color="#000000 [3213]" miterlimit="8" joinstyle="miter" endarrow="block"/>
                <v:imagedata o:title=""/>
                <o:lock v:ext="edit" aspectratio="f"/>
              </v:shape>
            </w:pict>
          </mc:Fallback>
        </mc:AlternateContent>
      </w:r>
    </w:p>
    <w:p w14:paraId="1527C68A">
      <w:pPr>
        <w:bidi w:val="0"/>
        <w:rPr>
          <w:lang w:eastAsia="zh-CN"/>
        </w:rPr>
      </w:pPr>
      <w:r>
        <w:rPr>
          <w:sz w:val="21"/>
        </w:rPr>
        <mc:AlternateContent>
          <mc:Choice Requires="wps">
            <w:drawing>
              <wp:anchor distT="0" distB="0" distL="114300" distR="114300" simplePos="0" relativeHeight="251686912" behindDoc="0" locked="0" layoutInCell="1" allowOverlap="1">
                <wp:simplePos x="0" y="0"/>
                <wp:positionH relativeFrom="column">
                  <wp:posOffset>4685665</wp:posOffset>
                </wp:positionH>
                <wp:positionV relativeFrom="paragraph">
                  <wp:posOffset>59055</wp:posOffset>
                </wp:positionV>
                <wp:extent cx="0" cy="2339975"/>
                <wp:effectExtent l="38100" t="0" r="38100" b="6985"/>
                <wp:wrapNone/>
                <wp:docPr id="35" name="直接箭头连接符 35"/>
                <wp:cNvGraphicFramePr/>
                <a:graphic xmlns:a="http://schemas.openxmlformats.org/drawingml/2006/main">
                  <a:graphicData uri="http://schemas.microsoft.com/office/word/2010/wordprocessingShape">
                    <wps:wsp>
                      <wps:cNvCnPr/>
                      <wps:spPr>
                        <a:xfrm>
                          <a:off x="0" y="0"/>
                          <a:ext cx="0" cy="233997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68.95pt;margin-top:4.65pt;height:184.25pt;width:0pt;z-index:251686912;mso-width-relative:page;mso-height-relative:page;" filled="f" stroked="t" coordsize="21600,21600" o:gfxdata="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&#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QnbuPWAAAACQEAAA8AAAAAAAAAAQAgAAAAIgAAAGRy&#10;cy9kb3ducmV2LnhtbFBLAQIUABQAAAAIAIdO4kB5G8EBBwIAAOQDAAAOAAAAAAAAAAEAIAAAACUB&#10;AABkcnMvZTJvRG9jLnhtbFBLBQYAAAAABgAGAFkBAACeBQAAAAA=&#10;">
                <v:fill on="f" focussize="0,0"/>
                <v:stroke weight="1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5089525</wp:posOffset>
                </wp:positionH>
                <wp:positionV relativeFrom="paragraph">
                  <wp:posOffset>59055</wp:posOffset>
                </wp:positionV>
                <wp:extent cx="0" cy="2339975"/>
                <wp:effectExtent l="38100" t="0" r="38100" b="6985"/>
                <wp:wrapNone/>
                <wp:docPr id="37" name="直接箭头连接符 37"/>
                <wp:cNvGraphicFramePr/>
                <a:graphic xmlns:a="http://schemas.openxmlformats.org/drawingml/2006/main">
                  <a:graphicData uri="http://schemas.microsoft.com/office/word/2010/wordprocessingShape">
                    <wps:wsp>
                      <wps:cNvCnPr/>
                      <wps:spPr>
                        <a:xfrm flipV="1">
                          <a:off x="0" y="0"/>
                          <a:ext cx="0" cy="233997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400.75pt;margin-top:4.65pt;height:184.25pt;width:0pt;z-index:251687936;mso-width-relative:page;mso-height-relative:page;" filled="f" stroked="t" coordsize="21600,21600" o:gfxdata="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JeoH1AAAAAkBAAAPAAAAAAAAAAEAIAAAACIA&#10;AABkcnMvZG93bnJldi54bWxQSwECFAAUAAAACACHTuJApwkvHg0CAADuAwAADgAAAAAAAAABACAA&#10;AAAjAQAAZHJzL2Uyb0RvYy54bWxQSwUGAAAAAAYABgBZAQAAogUAAAAA&#10;">
                <v:fill on="f" focussize="0,0"/>
                <v:stroke weight="1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3370580</wp:posOffset>
                </wp:positionH>
                <wp:positionV relativeFrom="paragraph">
                  <wp:posOffset>147955</wp:posOffset>
                </wp:positionV>
                <wp:extent cx="0" cy="3281045"/>
                <wp:effectExtent l="38100" t="0" r="38100" b="10795"/>
                <wp:wrapNone/>
                <wp:docPr id="34" name="直接箭头连接符 34"/>
                <wp:cNvGraphicFramePr/>
                <a:graphic xmlns:a="http://schemas.openxmlformats.org/drawingml/2006/main">
                  <a:graphicData uri="http://schemas.microsoft.com/office/word/2010/wordprocessingShape">
                    <wps:wsp>
                      <wps:cNvCnPr/>
                      <wps:spPr>
                        <a:xfrm>
                          <a:off x="0" y="0"/>
                          <a:ext cx="0" cy="328104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65.4pt;margin-top:11.65pt;height:258.35pt;width:0pt;z-index:251685888;mso-width-relative:page;mso-height-relative:page;" filled="f" stroked="t" coordsize="21600,21600" o:gfxdata="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cZS1fXAAAACgEAAA8AAAAAAAAAAQAgAAAAIgAAAGRy&#10;cy9kb3ducmV2LnhtbFBLAQIUABQAAAAIAIdO4kCu9KY9BgIAAOQDAAAOAAAAAAAAAAEAIAAAACYB&#10;AABkcnMvZTJvRG9jLnhtbFBLBQYAAAAABgAGAFkBAACeBQAAAAA=&#10;">
                <v:fill on="f" focussize="0,0"/>
                <v:stroke weight="1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2787650</wp:posOffset>
                </wp:positionH>
                <wp:positionV relativeFrom="paragraph">
                  <wp:posOffset>147955</wp:posOffset>
                </wp:positionV>
                <wp:extent cx="0" cy="276225"/>
                <wp:effectExtent l="6350" t="0" r="8890" b="13335"/>
                <wp:wrapNone/>
                <wp:docPr id="24" name="直接连接符 24"/>
                <wp:cNvGraphicFramePr/>
                <a:graphic xmlns:a="http://schemas.openxmlformats.org/drawingml/2006/main">
                  <a:graphicData uri="http://schemas.microsoft.com/office/word/2010/wordprocessingShape">
                    <wps:wsp>
                      <wps:cNvCnPr>
                        <a:stCxn id="9" idx="2"/>
                      </wps:cNvCnPr>
                      <wps:spPr>
                        <a:xfrm>
                          <a:off x="3803015" y="2947035"/>
                          <a:ext cx="0" cy="2762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9.5pt;margin-top:11.65pt;height:21.75pt;width:0pt;z-index:251676672;mso-width-relative:page;mso-height-relative:page;" filled="f" stroked="t" coordsize="21600,21600" o:gfxdata="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AXz9gAAAAJAQAADwAAAAAAAAABACAAAAAiAAAAZHJzL2Rv&#10;d25yZXYueG1sUEsBAhQAFAAAAAgAh07iQGZftR8BAgAA5QMAAA4AAAAAAAAAAQAgAAAAJwEAAGRy&#10;cy9lMm9Eb2MueG1sUEsFBgAAAAAGAAYAWQEAAJoFAAAAAA==&#10;">
                <v:fill on="f" focussize="0,0"/>
                <v:stroke weight="1pt" color="#000000 [3213]" miterlimit="8" joinstyle="miter"/>
                <v:imagedata o:title=""/>
                <o:lock v:ext="edit" aspectratio="f"/>
              </v:line>
            </w:pict>
          </mc:Fallback>
        </mc:AlternateContent>
      </w:r>
    </w:p>
    <w:p w14:paraId="7ADDCA2A">
      <w:pPr>
        <w:bidi w:val="0"/>
        <w:rPr>
          <w:lang w:eastAsia="zh-CN"/>
        </w:rPr>
      </w:pPr>
    </w:p>
    <w:p w14:paraId="494AEC25">
      <w:pPr>
        <w:bidi w:val="0"/>
        <w:rPr>
          <w:lang w:eastAsia="zh-CN"/>
        </w:rPr>
      </w:pPr>
      <w:r>
        <w:rPr>
          <w:sz w:val="21"/>
        </w:rPr>
        <mc:AlternateContent>
          <mc:Choice Requires="wps">
            <w:drawing>
              <wp:anchor distT="0" distB="0" distL="114300" distR="114300" simplePos="0" relativeHeight="251678720" behindDoc="0" locked="0" layoutInCell="1" allowOverlap="1">
                <wp:simplePos x="0" y="0"/>
                <wp:positionH relativeFrom="column">
                  <wp:posOffset>1544955</wp:posOffset>
                </wp:positionH>
                <wp:positionV relativeFrom="paragraph">
                  <wp:posOffset>107950</wp:posOffset>
                </wp:positionV>
                <wp:extent cx="0" cy="377825"/>
                <wp:effectExtent l="38100" t="0" r="38100" b="3175"/>
                <wp:wrapNone/>
                <wp:docPr id="26" name="直接箭头连接符 26"/>
                <wp:cNvGraphicFramePr/>
                <a:graphic xmlns:a="http://schemas.openxmlformats.org/drawingml/2006/main">
                  <a:graphicData uri="http://schemas.microsoft.com/office/word/2010/wordprocessingShape">
                    <wps:wsp>
                      <wps:cNvCnPr>
                        <a:endCxn id="11" idx="0"/>
                      </wps:cNvCnPr>
                      <wps:spPr>
                        <a:xfrm>
                          <a:off x="2529205" y="3219450"/>
                          <a:ext cx="0" cy="37782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21.65pt;margin-top:8.5pt;height:29.75pt;width:0pt;z-index:251678720;mso-width-relative:page;mso-height-relative:page;" filled="f" stroked="t" coordsize="21600,21600" o:gfxdata="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FPd4C&#10;1gAAAAkBAAAPAAAAAAAAAAEAIAAAACIAAABkcnMvZG93bnJldi54bWxQSwECFAAUAAAACACHTuJA&#10;q0faYyMCAAAXBAAADgAAAAAAAAABACAAAAAlAQAAZHJzL2Uyb0RvYy54bWxQSwUGAAAAAAYABgBZ&#10;AQAAugUAAAAA&#10;">
                <v:fill on="f" focussize="0,0"/>
                <v:stroke weight="1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1544955</wp:posOffset>
                </wp:positionH>
                <wp:positionV relativeFrom="paragraph">
                  <wp:posOffset>113030</wp:posOffset>
                </wp:positionV>
                <wp:extent cx="1243330" cy="0"/>
                <wp:effectExtent l="0" t="6350" r="0" b="6350"/>
                <wp:wrapNone/>
                <wp:docPr id="25" name="直接连接符 25"/>
                <wp:cNvGraphicFramePr/>
                <a:graphic xmlns:a="http://schemas.openxmlformats.org/drawingml/2006/main">
                  <a:graphicData uri="http://schemas.microsoft.com/office/word/2010/wordprocessingShape">
                    <wps:wsp>
                      <wps:cNvCnPr/>
                      <wps:spPr>
                        <a:xfrm flipH="1">
                          <a:off x="2247900" y="3212465"/>
                          <a:ext cx="124333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121.65pt;margin-top:8.9pt;height:0pt;width:97.9pt;z-index:251677696;mso-width-relative:page;mso-height-relative:page;" filled="f" stroked="t" coordsize="21600,21600" o:gfxdata="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xVQEjVAAAACQEAAA8AAAAAAAAAAQAgAAAAIgAAAGRycy9kb3ducmV2LnhtbFBL&#10;AQIUABQAAAAIAIdO4kClvA9c+QEAAMoDAAAOAAAAAAAAAAEAIAAAACQBAABkcnMvZTJvRG9jLnht&#10;bFBLBQYAAAAABgAGAFkBAACPBQAAAAA=&#10;">
                <v:fill on="f" focussize="0,0"/>
                <v:stroke weight="1pt" color="#000000 [3213]" miterlimit="8" joinstyle="miter"/>
                <v:imagedata o:title=""/>
                <o:lock v:ext="edit" aspectratio="f"/>
              </v:line>
            </w:pict>
          </mc:Fallback>
        </mc:AlternateContent>
      </w:r>
    </w:p>
    <w:p w14:paraId="15D954C8">
      <w:pPr>
        <w:bidi w:val="0"/>
        <w:rPr>
          <w:lang w:eastAsia="zh-CN"/>
        </w:rPr>
      </w:pPr>
    </w:p>
    <w:p w14:paraId="63E2B01E">
      <w:pPr>
        <w:bidi w:val="0"/>
        <w:rPr>
          <w:lang w:eastAsia="zh-CN"/>
        </w:rPr>
      </w:pPr>
    </w:p>
    <w:p w14:paraId="0E123A86">
      <w:pPr>
        <w:bidi w:val="0"/>
        <w:rPr>
          <w:lang w:eastAsia="zh-CN"/>
        </w:rPr>
      </w:pPr>
    </w:p>
    <w:p w14:paraId="3A967193">
      <w:pPr>
        <w:bidi w:val="0"/>
        <w:rPr>
          <w:lang w:eastAsia="zh-CN"/>
        </w:rPr>
      </w:pPr>
    </w:p>
    <w:p w14:paraId="1201BFD8">
      <w:pPr>
        <w:bidi w:val="0"/>
        <w:rPr>
          <w:lang w:eastAsia="zh-CN"/>
        </w:rPr>
      </w:pPr>
      <w:r>
        <w:rPr>
          <w:sz w:val="21"/>
        </w:rPr>
        <mc:AlternateContent>
          <mc:Choice Requires="wps">
            <w:drawing>
              <wp:anchor distT="0" distB="0" distL="114300" distR="114300" simplePos="0" relativeHeight="251684864" behindDoc="0" locked="0" layoutInCell="1" allowOverlap="1">
                <wp:simplePos x="0" y="0"/>
                <wp:positionH relativeFrom="column">
                  <wp:posOffset>2971165</wp:posOffset>
                </wp:positionH>
                <wp:positionV relativeFrom="paragraph">
                  <wp:posOffset>37465</wp:posOffset>
                </wp:positionV>
                <wp:extent cx="0" cy="2318385"/>
                <wp:effectExtent l="38100" t="0" r="38100" b="13335"/>
                <wp:wrapNone/>
                <wp:docPr id="33" name="直接箭头连接符 33"/>
                <wp:cNvGraphicFramePr/>
                <a:graphic xmlns:a="http://schemas.openxmlformats.org/drawingml/2006/main">
                  <a:graphicData uri="http://schemas.microsoft.com/office/word/2010/wordprocessingShape">
                    <wps:wsp>
                      <wps:cNvCnPr>
                        <a:endCxn id="14" idx="0"/>
                      </wps:cNvCnPr>
                      <wps:spPr>
                        <a:xfrm>
                          <a:off x="0" y="0"/>
                          <a:ext cx="0" cy="231838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33.95pt;margin-top:2.95pt;height:182.55pt;width:0pt;z-index:251684864;mso-width-relative:page;mso-height-relative:page;" filled="f" stroked="t" coordsize="21600,21600" o:gfxdata="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Kd1LrXAAAACQEAAA8AAAAA&#10;AAAAAQAgAAAAIgAAAGRycy9kb3ducmV2LnhtbFBLAQIUABQAAAAIAIdO4kDHnYnSFQIAAAwEAAAO&#10;AAAAAAAAAAEAIAAAACYBAABkcnMvZTJvRG9jLnhtbFBLBQYAAAAABgAGAFkBAACtBQAAAAA=&#10;">
                <v:fill on="f" focussize="0,0"/>
                <v:stroke weight="1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2258060</wp:posOffset>
                </wp:positionH>
                <wp:positionV relativeFrom="paragraph">
                  <wp:posOffset>37465</wp:posOffset>
                </wp:positionV>
                <wp:extent cx="713105" cy="0"/>
                <wp:effectExtent l="0" t="6350" r="0" b="6350"/>
                <wp:wrapNone/>
                <wp:docPr id="31" name="直接连接符 31"/>
                <wp:cNvGraphicFramePr/>
                <a:graphic xmlns:a="http://schemas.openxmlformats.org/drawingml/2006/main">
                  <a:graphicData uri="http://schemas.microsoft.com/office/word/2010/wordprocessingShape">
                    <wps:wsp>
                      <wps:cNvCnPr/>
                      <wps:spPr>
                        <a:xfrm>
                          <a:off x="0" y="0"/>
                          <a:ext cx="71310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77.8pt;margin-top:2.95pt;height:0pt;width:56.15pt;z-index:251683840;mso-width-relative:page;mso-height-relative:page;" filled="f" stroked="t" coordsize="21600,21600" o:gfxdata="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FpqfjWAAAABwEA&#10;AA8AAAAAAAAAAQAgAAAAIgAAAGRycy9kb3ducmV2LnhtbFBLAQIUABQAAAAIAIdO4kC9N0nX4wEA&#10;ALMDAAAOAAAAAAAAAAEAIAAAACUBAABkcnMvZTJvRG9jLnhtbFBLBQYAAAAABgAGAFkBAAB6BQAA&#10;AAA=&#10;">
                <v:fill on="f" focussize="0,0"/>
                <v:stroke weight="1pt" color="#000000 [3213]" miterlimit="8" joinstyle="miter"/>
                <v:imagedata o:title=""/>
                <o:lock v:ext="edit" aspectratio="f"/>
              </v:line>
            </w:pict>
          </mc:Fallback>
        </mc:AlternateContent>
      </w:r>
    </w:p>
    <w:p w14:paraId="217BCDBE">
      <w:pPr>
        <w:bidi w:val="0"/>
        <w:rPr>
          <w:lang w:eastAsia="zh-CN"/>
        </w:rPr>
      </w:pPr>
    </w:p>
    <w:p w14:paraId="67E9BD81">
      <w:pPr>
        <w:bidi w:val="0"/>
        <w:rPr>
          <w:lang w:eastAsia="zh-CN"/>
        </w:rPr>
      </w:pPr>
    </w:p>
    <w:p w14:paraId="77CD999C">
      <w:pPr>
        <w:bidi w:val="0"/>
        <w:rPr>
          <w:lang w:eastAsia="zh-CN"/>
        </w:rPr>
      </w:pPr>
    </w:p>
    <w:p w14:paraId="421C9375">
      <w:pPr>
        <w:bidi w:val="0"/>
        <w:rPr>
          <w:lang w:eastAsia="zh-CN"/>
        </w:rPr>
      </w:pPr>
      <w:r>
        <w:rPr>
          <w:sz w:val="21"/>
        </w:rPr>
        <mc:AlternateContent>
          <mc:Choice Requires="wps">
            <w:drawing>
              <wp:anchor distT="0" distB="0" distL="114300" distR="114300" simplePos="0" relativeHeight="251682816" behindDoc="0" locked="0" layoutInCell="1" allowOverlap="1">
                <wp:simplePos x="0" y="0"/>
                <wp:positionH relativeFrom="column">
                  <wp:posOffset>2383155</wp:posOffset>
                </wp:positionH>
                <wp:positionV relativeFrom="paragraph">
                  <wp:posOffset>102235</wp:posOffset>
                </wp:positionV>
                <wp:extent cx="3810" cy="1640205"/>
                <wp:effectExtent l="34290" t="0" r="38100" b="5715"/>
                <wp:wrapNone/>
                <wp:docPr id="30" name="直接箭头连接符 30"/>
                <wp:cNvGraphicFramePr/>
                <a:graphic xmlns:a="http://schemas.openxmlformats.org/drawingml/2006/main">
                  <a:graphicData uri="http://schemas.microsoft.com/office/word/2010/wordprocessingShape">
                    <wps:wsp>
                      <wps:cNvCnPr/>
                      <wps:spPr>
                        <a:xfrm>
                          <a:off x="3398520" y="4587875"/>
                          <a:ext cx="3810" cy="164020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87.65pt;margin-top:8.05pt;height:129.15pt;width:0.3pt;z-index:251682816;mso-width-relative:page;mso-height-relative:page;" filled="f" stroked="t" coordsize="21600,21600" o:gfxdata="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VK2WNgAAAAKAQAADwAA&#10;AAAAAAABACAAAAAiAAAAZHJzL2Rvd25yZXYueG1sUEsBAhQAFAAAAAgAh07iQC+z97gWAgAA8wMA&#10;AA4AAAAAAAAAAQAgAAAAJwEAAGRycy9lMm9Eb2MueG1sUEsFBgAAAAAGAAYAWQEAAK8FAAAAAA==&#10;">
                <v:fill on="f" focussize="0,0"/>
                <v:stroke weight="1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-51435</wp:posOffset>
                </wp:positionH>
                <wp:positionV relativeFrom="paragraph">
                  <wp:posOffset>96520</wp:posOffset>
                </wp:positionV>
                <wp:extent cx="2438400" cy="3810"/>
                <wp:effectExtent l="0" t="0" r="0" b="0"/>
                <wp:wrapNone/>
                <wp:docPr id="29" name="直接连接符 29"/>
                <wp:cNvGraphicFramePr/>
                <a:graphic xmlns:a="http://schemas.openxmlformats.org/drawingml/2006/main">
                  <a:graphicData uri="http://schemas.microsoft.com/office/word/2010/wordprocessingShape">
                    <wps:wsp>
                      <wps:cNvCnPr/>
                      <wps:spPr>
                        <a:xfrm>
                          <a:off x="967105" y="4582160"/>
                          <a:ext cx="2438400" cy="381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05pt;margin-top:7.6pt;height:0.3pt;width:192pt;z-index:251681792;mso-width-relative:page;mso-height-relative:page;" filled="f" stroked="t" coordsize="21600,21600" o:gfxdata="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VNFju2AAAAAgBAAAPAAAAAAAAAAEAIAAAACIAAABkcnMvZG93bnJldi54bWxQSwEC&#10;FAAUAAAACACHTuJAd51M5fQBAADCAwAADgAAAAAAAAABACAAAAAnAQAAZHJzL2Uyb0RvYy54bWxQ&#10;SwUGAAAAAAYABgBZAQAAjQUAAAAA&#10;">
                <v:fill on="f" focussize="0,0"/>
                <v:stroke weight="1pt" color="#000000 [3213]" miterlimit="8" joinstyle="miter"/>
                <v:imagedata o:title=""/>
                <o:lock v:ext="edit" aspectratio="f"/>
              </v:line>
            </w:pict>
          </mc:Fallback>
        </mc:AlternateContent>
      </w:r>
    </w:p>
    <w:p w14:paraId="6AFDAF75">
      <w:pPr>
        <w:bidi w:val="0"/>
        <w:rPr>
          <w:lang w:eastAsia="zh-CN"/>
        </w:rPr>
      </w:pPr>
    </w:p>
    <w:p w14:paraId="2B4B51E6">
      <w:pPr>
        <w:bidi w:val="0"/>
        <w:rPr>
          <w:lang w:eastAsia="zh-CN"/>
        </w:rPr>
      </w:pPr>
    </w:p>
    <w:p w14:paraId="73491B57">
      <w:pPr>
        <w:bidi w:val="0"/>
        <w:rPr>
          <w:lang w:eastAsia="zh-CN"/>
        </w:rPr>
      </w:pPr>
    </w:p>
    <w:p w14:paraId="02F2EFC3">
      <w:pPr>
        <w:bidi w:val="0"/>
        <w:rPr>
          <w:lang w:eastAsia="zh-CN"/>
        </w:rPr>
      </w:pPr>
    </w:p>
    <w:p w14:paraId="46EE08B6">
      <w:pPr>
        <w:bidi w:val="0"/>
        <w:rPr>
          <w:lang w:eastAsia="zh-CN"/>
        </w:rPr>
      </w:pPr>
    </w:p>
    <w:p w14:paraId="3D553DAF">
      <w:pPr>
        <w:bidi w:val="0"/>
        <w:rPr>
          <w:lang w:eastAsia="zh-CN"/>
        </w:rPr>
      </w:pPr>
    </w:p>
    <w:p w14:paraId="456AB27C">
      <w:pPr>
        <w:bidi w:val="0"/>
        <w:rPr>
          <w:lang w:eastAsia="zh-CN"/>
        </w:rPr>
      </w:pPr>
    </w:p>
    <w:p w14:paraId="2A5037E5">
      <w:pPr>
        <w:bidi w:val="0"/>
        <w:rPr>
          <w:lang w:eastAsia="zh-CN"/>
        </w:rPr>
      </w:pPr>
      <w:r>
        <w:rPr>
          <w:sz w:val="21"/>
        </w:rPr>
        <mc:AlternateContent>
          <mc:Choice Requires="wps">
            <w:drawing>
              <wp:anchor distT="0" distB="0" distL="114300" distR="114300" simplePos="0" relativeHeight="251696128" behindDoc="0" locked="0" layoutInCell="1" allowOverlap="1">
                <wp:simplePos x="0" y="0"/>
                <wp:positionH relativeFrom="column">
                  <wp:posOffset>1109980</wp:posOffset>
                </wp:positionH>
                <wp:positionV relativeFrom="paragraph">
                  <wp:posOffset>92075</wp:posOffset>
                </wp:positionV>
                <wp:extent cx="0" cy="416560"/>
                <wp:effectExtent l="38100" t="0" r="38100" b="10160"/>
                <wp:wrapNone/>
                <wp:docPr id="45" name="直接箭头连接符 45"/>
                <wp:cNvGraphicFramePr/>
                <a:graphic xmlns:a="http://schemas.openxmlformats.org/drawingml/2006/main">
                  <a:graphicData uri="http://schemas.microsoft.com/office/word/2010/wordprocessingShape">
                    <wps:wsp>
                      <wps:cNvCnPr/>
                      <wps:spPr>
                        <a:xfrm flipH="1" flipV="1">
                          <a:off x="0" y="0"/>
                          <a:ext cx="0" cy="41656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87.4pt;margin-top:7.25pt;height:32.8pt;width:0pt;z-index:251696128;mso-width-relative:page;mso-height-relative:page;" filled="f" stroked="t" coordsize="21600,21600" o:gfxdata="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Af0TtcAAAAJAQAADwAAAAAAAAAB&#10;ACAAAAAiAAAAZHJzL2Rvd25yZXYueG1sUEsBAhQAFAAAAAgAh07iQK/xYUoRAgAA9wMAAA4AAAAA&#10;AAAAAQAgAAAAJgEAAGRycy9lMm9Eb2MueG1sUEsFBgAAAAAGAAYAWQEAAKkFAAAAAA==&#10;">
                <v:fill on="f" focussize="0,0"/>
                <v:stroke weight="1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596265</wp:posOffset>
                </wp:positionH>
                <wp:positionV relativeFrom="paragraph">
                  <wp:posOffset>99060</wp:posOffset>
                </wp:positionV>
                <wp:extent cx="0" cy="416560"/>
                <wp:effectExtent l="38100" t="0" r="38100" b="10160"/>
                <wp:wrapNone/>
                <wp:docPr id="44" name="直接箭头连接符 44"/>
                <wp:cNvGraphicFramePr/>
                <a:graphic xmlns:a="http://schemas.openxmlformats.org/drawingml/2006/main">
                  <a:graphicData uri="http://schemas.microsoft.com/office/word/2010/wordprocessingShape">
                    <wps:wsp>
                      <wps:cNvCnPr/>
                      <wps:spPr>
                        <a:xfrm>
                          <a:off x="1611630" y="5811520"/>
                          <a:ext cx="0" cy="41656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6.95pt;margin-top:7.8pt;height:32.8pt;width:0pt;z-index:251695104;mso-width-relative:page;mso-height-relative:page;" filled="f" stroked="t" coordsize="21600,21600" o:gfxdata="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VJ0VTTAAAABwEAAA8AAAAAAAAAAQAg&#10;AAAAIgAAAGRycy9kb3ducmV2LnhtbFBLAQIUABQAAAAIAIdO4kCtgOJSEwIAAO8DAAAOAAAAAAAA&#10;AAEAIAAAACIBAABkcnMvZTJvRG9jLnhtbFBLBQYAAAAABgAGAFkBAACnBQAAAAA=&#10;">
                <v:fill on="f" focussize="0,0"/>
                <v:stroke weight="1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5089525</wp:posOffset>
                </wp:positionH>
                <wp:positionV relativeFrom="paragraph">
                  <wp:posOffset>116840</wp:posOffset>
                </wp:positionV>
                <wp:extent cx="0" cy="398780"/>
                <wp:effectExtent l="38100" t="0" r="38100" b="12700"/>
                <wp:wrapNone/>
                <wp:docPr id="39" name="直接箭头连接符 39"/>
                <wp:cNvGraphicFramePr/>
                <a:graphic xmlns:a="http://schemas.openxmlformats.org/drawingml/2006/main">
                  <a:graphicData uri="http://schemas.microsoft.com/office/word/2010/wordprocessingShape">
                    <wps:wsp>
                      <wps:cNvCnPr/>
                      <wps:spPr>
                        <a:xfrm flipV="1">
                          <a:off x="0" y="0"/>
                          <a:ext cx="0" cy="3987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400.75pt;margin-top:9.2pt;height:31.4pt;width:0pt;z-index:251689984;mso-width-relative:page;mso-height-relative:page;" filled="f" stroked="t" coordsize="21600,21600" o:gfxdata="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Q02B21AAAAAkBAAAPAAAAAAAAAAEAIAAAACIA&#10;AABkcnMvZG93bnJldi54bWxQSwECFAAUAAAACACHTuJAiocJWQ0CAADtAwAADgAAAAAAAAABACAA&#10;AAAjAQAAZHJzL2Uyb0RvYy54bWxQSwUGAAAAAAYABgBZAQAAogUAAAAA&#10;">
                <v:fill on="f" focussize="0,0"/>
                <v:stroke weight="1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4685665</wp:posOffset>
                </wp:positionH>
                <wp:positionV relativeFrom="paragraph">
                  <wp:posOffset>116840</wp:posOffset>
                </wp:positionV>
                <wp:extent cx="0" cy="398780"/>
                <wp:effectExtent l="38100" t="0" r="38100" b="12700"/>
                <wp:wrapNone/>
                <wp:docPr id="38" name="直接箭头连接符 38"/>
                <wp:cNvGraphicFramePr/>
                <a:graphic xmlns:a="http://schemas.openxmlformats.org/drawingml/2006/main">
                  <a:graphicData uri="http://schemas.microsoft.com/office/word/2010/wordprocessingShape">
                    <wps:wsp>
                      <wps:cNvCnPr/>
                      <wps:spPr>
                        <a:xfrm>
                          <a:off x="5685155" y="5829300"/>
                          <a:ext cx="0" cy="3987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68.95pt;margin-top:9.2pt;height:31.4pt;width:0pt;z-index:251688960;mso-width-relative:page;mso-height-relative:page;" filled="f" stroked="t" coordsize="21600,21600" o:gfxdata="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ov3ndcAAAAJAQAADwAAAAAA&#10;AAABACAAAAAiAAAAZHJzL2Rvd25yZXYueG1sUEsBAhQAFAAAAAgAh07iQOgT0FcUAgAA7wMAAA4A&#10;AAAAAAAAAQAgAAAAJgEAAGRycy9lMm9Eb2MueG1sUEsFBgAAAAAGAAYAWQEAAKwFAAAAAA==&#10;">
                <v:fill on="f" focussize="0,0"/>
                <v:stroke weight="1pt" color="#000000 [3213]" miterlimit="8" joinstyle="miter" endarrow="block"/>
                <v:imagedata o:title=""/>
                <o:lock v:ext="edit" aspectratio="f"/>
              </v:shape>
            </w:pict>
          </mc:Fallback>
        </mc:AlternateContent>
      </w:r>
    </w:p>
    <w:p w14:paraId="35148F19">
      <w:pPr>
        <w:bidi w:val="0"/>
        <w:rPr>
          <w:lang w:eastAsia="zh-CN"/>
        </w:rPr>
      </w:pPr>
    </w:p>
    <w:p w14:paraId="6B5D4AFF">
      <w:pPr>
        <w:bidi w:val="0"/>
        <w:rPr>
          <w:lang w:eastAsia="zh-CN"/>
        </w:rPr>
      </w:pPr>
    </w:p>
    <w:p w14:paraId="20C47E97">
      <w:pPr>
        <w:bidi w:val="0"/>
        <w:rPr>
          <w:lang w:eastAsia="zh-CN"/>
        </w:rPr>
      </w:pPr>
    </w:p>
    <w:p w14:paraId="21822C20">
      <w:pPr>
        <w:bidi w:val="0"/>
        <w:rPr>
          <w:lang w:eastAsia="zh-CN"/>
        </w:rPr>
      </w:pPr>
      <w:r>
        <w:rPr>
          <w:sz w:val="21"/>
        </w:rPr>
        <mc:AlternateContent>
          <mc:Choice Requires="wps">
            <w:drawing>
              <wp:anchor distT="0" distB="0" distL="114300" distR="114300" simplePos="0" relativeHeight="251693056" behindDoc="0" locked="0" layoutInCell="1" allowOverlap="1">
                <wp:simplePos x="0" y="0"/>
                <wp:positionH relativeFrom="column">
                  <wp:posOffset>1640840</wp:posOffset>
                </wp:positionH>
                <wp:positionV relativeFrom="paragraph">
                  <wp:posOffset>50165</wp:posOffset>
                </wp:positionV>
                <wp:extent cx="617220" cy="0"/>
                <wp:effectExtent l="0" t="38100" r="7620" b="38100"/>
                <wp:wrapNone/>
                <wp:docPr id="42" name="直接箭头连接符 42"/>
                <wp:cNvGraphicFramePr/>
                <a:graphic xmlns:a="http://schemas.openxmlformats.org/drawingml/2006/main">
                  <a:graphicData uri="http://schemas.microsoft.com/office/word/2010/wordprocessingShape">
                    <wps:wsp>
                      <wps:cNvCnPr/>
                      <wps:spPr>
                        <a:xfrm>
                          <a:off x="0" y="0"/>
                          <a:ext cx="617220"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29.2pt;margin-top:3.95pt;height:0pt;width:48.6pt;z-index:251693056;mso-width-relative:page;mso-height-relative:page;" filled="f" stroked="t" coordsize="21600,21600" o:gfxdata="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Qd4urVAAAABwEAAA8AAAAAAAAAAQAgAAAAIgAAAGRycy9k&#10;b3ducmV2LnhtbFBLAQIUABQAAAAIAIdO4kD4whAfBQIAAOMDAAAOAAAAAAAAAAEAIAAAACQBAABk&#10;cnMvZTJvRG9jLnhtbFBLBQYAAAAABgAGAFkBAACbBQAAAAA=&#10;">
                <v:fill on="f" focussize="0,0"/>
                <v:stroke weight="1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3684270</wp:posOffset>
                </wp:positionH>
                <wp:positionV relativeFrom="paragraph">
                  <wp:posOffset>50165</wp:posOffset>
                </wp:positionV>
                <wp:extent cx="450215" cy="0"/>
                <wp:effectExtent l="0" t="38100" r="6985" b="38100"/>
                <wp:wrapNone/>
                <wp:docPr id="40" name="直接箭头连接符 40"/>
                <wp:cNvGraphicFramePr/>
                <a:graphic xmlns:a="http://schemas.openxmlformats.org/drawingml/2006/main">
                  <a:graphicData uri="http://schemas.microsoft.com/office/word/2010/wordprocessingShape">
                    <wps:wsp>
                      <wps:cNvCnPr/>
                      <wps:spPr>
                        <a:xfrm>
                          <a:off x="0" y="0"/>
                          <a:ext cx="450215"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90.1pt;margin-top:3.95pt;height:0pt;width:35.45pt;z-index:251691008;mso-width-relative:page;mso-height-relative:page;" filled="f" stroked="t" coordsize="21600,21600" o:gfxdata="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LUypbVAAAABwEAAA8AAAAAAAAAAQAgAAAAIgAAAGRycy9k&#10;b3ducmV2LnhtbFBLAQIUABQAAAAIAIdO4kDdno2/BQIAAOMDAAAOAAAAAAAAAAEAIAAAACQBAABk&#10;cnMvZTJvRG9jLnhtbFBLBQYAAAAABgAGAFkBAACbBQAAAAA=&#10;">
                <v:fill on="f" focussize="0,0"/>
                <v:stroke weight="1pt" color="#000000 [3213]" miterlimit="8" joinstyle="miter" endarrow="block"/>
                <v:imagedata o:title=""/>
                <o:lock v:ext="edit" aspectratio="f"/>
              </v:shape>
            </w:pict>
          </mc:Fallback>
        </mc:AlternateContent>
      </w:r>
    </w:p>
    <w:p w14:paraId="6373DBA3">
      <w:pPr>
        <w:bidi w:val="0"/>
        <w:rPr>
          <w:lang w:eastAsia="zh-CN"/>
        </w:rPr>
      </w:pPr>
    </w:p>
    <w:p w14:paraId="08F7B3BC">
      <w:pPr>
        <w:bidi w:val="0"/>
        <w:rPr>
          <w:lang w:eastAsia="zh-CN"/>
        </w:rPr>
      </w:pPr>
      <w:r>
        <w:rPr>
          <w:sz w:val="21"/>
        </w:rPr>
        <mc:AlternateContent>
          <mc:Choice Requires="wps">
            <w:drawing>
              <wp:anchor distT="0" distB="0" distL="114300" distR="114300" simplePos="0" relativeHeight="251694080" behindDoc="0" locked="0" layoutInCell="1" allowOverlap="1">
                <wp:simplePos x="0" y="0"/>
                <wp:positionH relativeFrom="column">
                  <wp:posOffset>1640840</wp:posOffset>
                </wp:positionH>
                <wp:positionV relativeFrom="paragraph">
                  <wp:posOffset>3810</wp:posOffset>
                </wp:positionV>
                <wp:extent cx="617220" cy="0"/>
                <wp:effectExtent l="0" t="38100" r="7620" b="38100"/>
                <wp:wrapNone/>
                <wp:docPr id="43" name="直接箭头连接符 43"/>
                <wp:cNvGraphicFramePr/>
                <a:graphic xmlns:a="http://schemas.openxmlformats.org/drawingml/2006/main">
                  <a:graphicData uri="http://schemas.microsoft.com/office/word/2010/wordprocessingShape">
                    <wps:wsp>
                      <wps:cNvCnPr/>
                      <wps:spPr>
                        <a:xfrm flipH="1">
                          <a:off x="0" y="0"/>
                          <a:ext cx="617220"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29.2pt;margin-top:0.3pt;height:0pt;width:48.6pt;z-index:251694080;mso-width-relative:page;mso-height-relative:page;" filled="f" stroked="t" coordsize="21600,21600" o:gfxdata="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UqHWNIAAAAFAQAADwAAAAAAAAABACAAAAAiAAAA&#10;ZHJzL2Rvd25yZXYueG1sUEsBAhQAFAAAAAgAh07iQC48/fYNAgAA7QMAAA4AAAAAAAAAAQAgAAAA&#10;IQEAAGRycy9lMm9Eb2MueG1sUEsFBgAAAAAGAAYAWQEAAKAFAAAAAA==&#10;">
                <v:fill on="f" focussize="0,0"/>
                <v:stroke weight="1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3690620</wp:posOffset>
                </wp:positionH>
                <wp:positionV relativeFrom="paragraph">
                  <wp:posOffset>3810</wp:posOffset>
                </wp:positionV>
                <wp:extent cx="450215" cy="0"/>
                <wp:effectExtent l="0" t="38100" r="6985" b="38100"/>
                <wp:wrapNone/>
                <wp:docPr id="41" name="直接箭头连接符 41"/>
                <wp:cNvGraphicFramePr/>
                <a:graphic xmlns:a="http://schemas.openxmlformats.org/drawingml/2006/main">
                  <a:graphicData uri="http://schemas.microsoft.com/office/word/2010/wordprocessingShape">
                    <wps:wsp>
                      <wps:cNvCnPr/>
                      <wps:spPr>
                        <a:xfrm flipH="1">
                          <a:off x="0" y="0"/>
                          <a:ext cx="450215"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90.6pt;margin-top:0.3pt;height:0pt;width:35.45pt;z-index:251692032;mso-width-relative:page;mso-height-relative:page;" filled="f" stroked="t" coordsize="21600,21600" o:gfxdata="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ca9ltIAAAAFAQAADwAAAAAAAAABACAAAAAiAAAA&#10;ZHJzL2Rvd25yZXYueG1sUEsBAhQAFAAAAAgAh07iQF40+DYNAgAA7QMAAA4AAAAAAAAAAQAgAAAA&#10;IQEAAGRycy9lMm9Eb2MueG1sUEsFBgAAAAAGAAYAWQEAAKAFAAAAAA==&#10;">
                <v:fill on="f" focussize="0,0"/>
                <v:stroke weight="1pt" color="#000000 [3213]" miterlimit="8" joinstyle="miter" endarrow="block"/>
                <v:imagedata o:title=""/>
                <o:lock v:ext="edit" aspectratio="f"/>
              </v:shape>
            </w:pict>
          </mc:Fallback>
        </mc:AlternateContent>
      </w:r>
    </w:p>
    <w:p w14:paraId="59BF702D">
      <w:pPr>
        <w:bidi w:val="0"/>
        <w:rPr>
          <w:lang w:eastAsia="zh-CN"/>
        </w:rPr>
      </w:pPr>
      <w:r>
        <w:rPr>
          <w:sz w:val="21"/>
        </w:rPr>
        <mc:AlternateContent>
          <mc:Choice Requires="wps">
            <w:drawing>
              <wp:anchor distT="0" distB="0" distL="114300" distR="114300" simplePos="0" relativeHeight="251700224" behindDoc="0" locked="0" layoutInCell="1" allowOverlap="1">
                <wp:simplePos x="0" y="0"/>
                <wp:positionH relativeFrom="column">
                  <wp:posOffset>948055</wp:posOffset>
                </wp:positionH>
                <wp:positionV relativeFrom="paragraph">
                  <wp:posOffset>74295</wp:posOffset>
                </wp:positionV>
                <wp:extent cx="0" cy="978535"/>
                <wp:effectExtent l="38100" t="0" r="38100" b="12065"/>
                <wp:wrapNone/>
                <wp:docPr id="50" name="直接箭头连接符 50"/>
                <wp:cNvGraphicFramePr/>
                <a:graphic xmlns:a="http://schemas.openxmlformats.org/drawingml/2006/main">
                  <a:graphicData uri="http://schemas.microsoft.com/office/word/2010/wordprocessingShape">
                    <wps:wsp>
                      <wps:cNvCnPr/>
                      <wps:spPr>
                        <a:xfrm flipV="1">
                          <a:off x="0" y="0"/>
                          <a:ext cx="0" cy="9785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74.65pt;margin-top:5.85pt;height:77.05pt;width:0pt;z-index:251700224;mso-width-relative:page;mso-height-relative:page;" filled="f" stroked="t" coordsize="21600,21600" o:gfxdata="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IlHsbVAAAACgEAAA8AAAAAAAAAAQAgAAAAIgAA&#10;AGRycy9kb3ducmV2LnhtbFBLAQIUABQAAAAIAIdO4kCgrcMfCwIAAO0DAAAOAAAAAAAAAAEAIAAA&#10;ACQBAABkcnMvZTJvRG9jLnhtbFBLBQYAAAAABgAGAFkBAAChBQAAAAA=&#10;">
                <v:fill on="f" focussize="0,0"/>
                <v:stroke weight="1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582930</wp:posOffset>
                </wp:positionH>
                <wp:positionV relativeFrom="paragraph">
                  <wp:posOffset>59055</wp:posOffset>
                </wp:positionV>
                <wp:extent cx="0" cy="1593850"/>
                <wp:effectExtent l="6350" t="0" r="8890" b="6350"/>
                <wp:wrapNone/>
                <wp:docPr id="47" name="直接连接符 47"/>
                <wp:cNvGraphicFramePr/>
                <a:graphic xmlns:a="http://schemas.openxmlformats.org/drawingml/2006/main">
                  <a:graphicData uri="http://schemas.microsoft.com/office/word/2010/wordprocessingShape">
                    <wps:wsp>
                      <wps:cNvCnPr/>
                      <wps:spPr>
                        <a:xfrm>
                          <a:off x="1598295" y="6844665"/>
                          <a:ext cx="0" cy="159385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5.9pt;margin-top:4.65pt;height:125.5pt;width:0pt;z-index:251697152;mso-width-relative:page;mso-height-relative:page;" filled="f" stroked="t" coordsize="21600,21600" o:gfxdata="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4bEPnVAAAABwEAAA8AAAAAAAAAAQAgAAAAIgAAAGRycy9kb3ducmV2LnhtbFBLAQIUABQA&#10;AAAIAIdO4kCfQD228wEAAMADAAAOAAAAAAAAAAEAIAAAACQBAABkcnMvZTJvRG9jLnhtbFBLBQYA&#10;AAAABgAGAFkBAACJBQAAAAA=&#10;">
                <v:fill on="f" focussize="0,0"/>
                <v:stroke weight="1pt" color="#000000 [3213]" miterlimit="8" joinstyle="miter"/>
                <v:imagedata o:title=""/>
                <o:lock v:ext="edit" aspectratio="f"/>
              </v:line>
            </w:pict>
          </mc:Fallback>
        </mc:AlternateContent>
      </w:r>
    </w:p>
    <w:p w14:paraId="19D3D617">
      <w:pPr>
        <w:bidi w:val="0"/>
        <w:rPr>
          <w:lang w:eastAsia="zh-CN"/>
        </w:rPr>
      </w:pPr>
    </w:p>
    <w:p w14:paraId="09C73F88">
      <w:pPr>
        <w:bidi w:val="0"/>
        <w:rPr>
          <w:lang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5215890</wp:posOffset>
                </wp:positionH>
                <wp:positionV relativeFrom="paragraph">
                  <wp:posOffset>29845</wp:posOffset>
                </wp:positionV>
                <wp:extent cx="0" cy="1316355"/>
                <wp:effectExtent l="6350" t="0" r="8890" b="9525"/>
                <wp:wrapNone/>
                <wp:docPr id="53" name="直接连接符 53"/>
                <wp:cNvGraphicFramePr/>
                <a:graphic xmlns:a="http://schemas.openxmlformats.org/drawingml/2006/main">
                  <a:graphicData uri="http://schemas.microsoft.com/office/word/2010/wordprocessingShape">
                    <wps:wsp>
                      <wps:cNvCnPr/>
                      <wps:spPr>
                        <a:xfrm>
                          <a:off x="0" y="0"/>
                          <a:ext cx="0" cy="131635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10.7pt;margin-top:2.35pt;height:103.65pt;width:0pt;z-index:251659264;mso-width-relative:page;mso-height-relative:page;" filled="f" stroked="t" coordsize="21600,21600" o:gfxdata="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DC3P11wAAAAkB&#10;AAAPAAAAAAAAAAEAIAAAACIAAABkcnMvZG93bnJldi54bWxQSwECFAAUAAAACACHTuJAM7+sq+MB&#10;AAC0AwAADgAAAAAAAAABACAAAAAmAQAAZHJzL2Uyb0RvYy54bWxQSwUGAAAAAAYABgBZAQAAewUA&#10;AAAA&#10;">
                <v:fill on="f" focussize="0,0"/>
                <v:stroke weight="1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4632325</wp:posOffset>
                </wp:positionH>
                <wp:positionV relativeFrom="paragraph">
                  <wp:posOffset>29845</wp:posOffset>
                </wp:positionV>
                <wp:extent cx="0" cy="899160"/>
                <wp:effectExtent l="38100" t="0" r="38100" b="0"/>
                <wp:wrapNone/>
                <wp:docPr id="52" name="直接箭头连接符 52"/>
                <wp:cNvGraphicFramePr/>
                <a:graphic xmlns:a="http://schemas.openxmlformats.org/drawingml/2006/main">
                  <a:graphicData uri="http://schemas.microsoft.com/office/word/2010/wordprocessingShape">
                    <wps:wsp>
                      <wps:cNvCnPr/>
                      <wps:spPr>
                        <a:xfrm flipV="1">
                          <a:off x="0" y="0"/>
                          <a:ext cx="0" cy="89916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364.75pt;margin-top:2.35pt;height:70.8pt;width:0pt;z-index:251702272;mso-width-relative:page;mso-height-relative:page;" filled="f" stroked="t" coordsize="21600,21600" o:gfxdata="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luurA1QAAAAkBAAAPAAAAAAAAAAEAIAAAACIA&#10;AABkcnMvZG93bnJldi54bWxQSwECFAAUAAAACACHTuJA1du8zwwCAADtAwAADgAAAAAAAAABACAA&#10;AAAkAQAAZHJzL2Uyb0RvYy54bWxQSwUGAAAAAAYABgBZAQAAogUAAAAA&#10;">
                <v:fill on="f" focussize="0,0"/>
                <v:stroke weight="1pt" color="#000000 [3213]" miterlimit="8" joinstyle="miter" endarrow="block"/>
                <v:imagedata o:title=""/>
                <o:lock v:ext="edit" aspectratio="f"/>
              </v:shape>
            </w:pict>
          </mc:Fallback>
        </mc:AlternateContent>
      </w:r>
    </w:p>
    <w:p w14:paraId="315D0DA0">
      <w:pPr>
        <w:bidi w:val="0"/>
        <w:rPr>
          <w:lang w:eastAsia="zh-CN"/>
        </w:rPr>
      </w:pPr>
    </w:p>
    <w:p w14:paraId="1F73DA64">
      <w:pPr>
        <w:bidi w:val="0"/>
        <w:rPr>
          <w:lang w:eastAsia="zh-CN"/>
        </w:rPr>
      </w:pPr>
    </w:p>
    <w:p w14:paraId="1C2F9A57">
      <w:pPr>
        <w:bidi w:val="0"/>
        <w:rPr>
          <w:lang w:eastAsia="zh-CN"/>
        </w:rPr>
      </w:pPr>
    </w:p>
    <w:p w14:paraId="78AD6143">
      <w:pPr>
        <w:bidi w:val="0"/>
        <w:rPr>
          <w:lang w:eastAsia="zh-CN"/>
        </w:rPr>
      </w:pPr>
      <w:r>
        <w:rPr>
          <w:sz w:val="21"/>
        </w:rPr>
        <mc:AlternateContent>
          <mc:Choice Requires="wps">
            <w:drawing>
              <wp:anchor distT="0" distB="0" distL="114300" distR="114300" simplePos="0" relativeHeight="251699200" behindDoc="0" locked="0" layoutInCell="1" allowOverlap="1">
                <wp:simplePos x="0" y="0"/>
                <wp:positionH relativeFrom="column">
                  <wp:posOffset>948055</wp:posOffset>
                </wp:positionH>
                <wp:positionV relativeFrom="paragraph">
                  <wp:posOffset>117475</wp:posOffset>
                </wp:positionV>
                <wp:extent cx="596900" cy="0"/>
                <wp:effectExtent l="0" t="6350" r="0" b="6350"/>
                <wp:wrapNone/>
                <wp:docPr id="49" name="直接连接符 49"/>
                <wp:cNvGraphicFramePr/>
                <a:graphic xmlns:a="http://schemas.openxmlformats.org/drawingml/2006/main">
                  <a:graphicData uri="http://schemas.microsoft.com/office/word/2010/wordprocessingShape">
                    <wps:wsp>
                      <wps:cNvCnPr/>
                      <wps:spPr>
                        <a:xfrm>
                          <a:off x="0" y="0"/>
                          <a:ext cx="5969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4.65pt;margin-top:9.25pt;height:0pt;width:47pt;z-index:251699200;mso-width-relative:page;mso-height-relative:page;" filled="f" stroked="t" coordsize="21600,21600" o:gfxdata="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gGCGB1wAAAAkB&#10;AAAPAAAAAAAAAAEAIAAAACIAAABkcnMvZG93bnJldi54bWxQSwECFAAUAAAACACHTuJArPaHHOMB&#10;AACzAwAADgAAAAAAAAABACAAAAAmAQAAZHJzL2Uyb0RvYy54bWxQSwUGAAAAAAYABgBZAQAAewUA&#10;AAAA&#10;">
                <v:fill on="f" focussize="0,0"/>
                <v:stroke weight="1pt" color="#000000 [3213]" miterlimit="8" joinstyle="miter"/>
                <v:imagedata o:title=""/>
                <o:lock v:ext="edit" aspectratio="f"/>
              </v:line>
            </w:pict>
          </mc:Fallback>
        </mc:AlternateContent>
      </w:r>
    </w:p>
    <w:p w14:paraId="79576AC4">
      <w:pPr>
        <w:bidi w:val="0"/>
        <w:rPr>
          <w:lang w:eastAsia="zh-CN"/>
        </w:rPr>
      </w:pPr>
    </w:p>
    <w:p w14:paraId="4F8E6908">
      <w:pPr>
        <w:bidi w:val="0"/>
        <w:rPr>
          <w:lang w:eastAsia="zh-CN"/>
        </w:rPr>
      </w:pPr>
      <w:r>
        <w:rPr>
          <w:sz w:val="21"/>
        </w:rPr>
        <mc:AlternateContent>
          <mc:Choice Requires="wps">
            <w:drawing>
              <wp:anchor distT="0" distB="0" distL="114300" distR="114300" simplePos="0" relativeHeight="251701248" behindDoc="0" locked="0" layoutInCell="1" allowOverlap="1">
                <wp:simplePos x="0" y="0"/>
                <wp:positionH relativeFrom="column">
                  <wp:posOffset>4035425</wp:posOffset>
                </wp:positionH>
                <wp:positionV relativeFrom="paragraph">
                  <wp:posOffset>8890</wp:posOffset>
                </wp:positionV>
                <wp:extent cx="596900" cy="0"/>
                <wp:effectExtent l="0" t="6350" r="0" b="6350"/>
                <wp:wrapNone/>
                <wp:docPr id="51" name="直接连接符 51"/>
                <wp:cNvGraphicFramePr/>
                <a:graphic xmlns:a="http://schemas.openxmlformats.org/drawingml/2006/main">
                  <a:graphicData uri="http://schemas.microsoft.com/office/word/2010/wordprocessingShape">
                    <wps:wsp>
                      <wps:cNvCnPr/>
                      <wps:spPr>
                        <a:xfrm>
                          <a:off x="0" y="0"/>
                          <a:ext cx="5969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17.75pt;margin-top:0.7pt;height:0pt;width:47pt;z-index:251701248;mso-width-relative:page;mso-height-relative:page;" filled="f" stroked="t" coordsize="21600,21600" o:gfxdata="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JlREtUAAAAHAQAA&#10;DwAAAAAAAAABACAAAAAiAAAAZHJzL2Rvd25yZXYueG1sUEsBAhQAFAAAAAgAh07iQKihERXjAQAA&#10;swMAAA4AAAAAAAAAAQAgAAAAJAEAAGRycy9lMm9Eb2MueG1sUEsFBgAAAAAGAAYAWQEAAHkFAAAA&#10;AA==&#10;">
                <v:fill on="f" focussize="0,0"/>
                <v:stroke weight="1pt" color="#000000 [3213]" miterlimit="8" joinstyle="miter"/>
                <v:imagedata o:title=""/>
                <o:lock v:ext="edit" aspectratio="f"/>
              </v:line>
            </w:pict>
          </mc:Fallback>
        </mc:AlternateContent>
      </w:r>
    </w:p>
    <w:p w14:paraId="2DAE14A4">
      <w:pPr>
        <w:bidi w:val="0"/>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4140835</wp:posOffset>
                </wp:positionH>
                <wp:positionV relativeFrom="paragraph">
                  <wp:posOffset>272415</wp:posOffset>
                </wp:positionV>
                <wp:extent cx="1075055" cy="0"/>
                <wp:effectExtent l="0" t="38100" r="6985" b="38100"/>
                <wp:wrapNone/>
                <wp:docPr id="54" name="直接箭头连接符 54"/>
                <wp:cNvGraphicFramePr/>
                <a:graphic xmlns:a="http://schemas.openxmlformats.org/drawingml/2006/main">
                  <a:graphicData uri="http://schemas.microsoft.com/office/word/2010/wordprocessingShape">
                    <wps:wsp>
                      <wps:cNvCnPr/>
                      <wps:spPr>
                        <a:xfrm flipH="1">
                          <a:off x="0" y="0"/>
                          <a:ext cx="1075055"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326.05pt;margin-top:21.45pt;height:0pt;width:84.65pt;z-index:251660288;mso-width-relative:page;mso-height-relative:page;" filled="f" stroked="t" coordsize="21600,21600" o:gfxdata="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AH4F81gAAAAkBAAAPAAAAAAAAAAEAIAAA&#10;ACIAAABkcnMvZG93bnJldi54bWxQSwECFAAUAAAACACHTuJA9XKLxA4CAADuAwAADgAAAAAAAAAB&#10;ACAAAAAlAQAAZHJzL2Uyb0RvYy54bWxQSwUGAAAAAAYABgBZAQAApQUAAAAA&#10;">
                <v:fill on="f" focussize="0,0"/>
                <v:stroke weight="1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581025</wp:posOffset>
                </wp:positionH>
                <wp:positionV relativeFrom="paragraph">
                  <wp:posOffset>272415</wp:posOffset>
                </wp:positionV>
                <wp:extent cx="1044575" cy="0"/>
                <wp:effectExtent l="0" t="38100" r="6985" b="38100"/>
                <wp:wrapNone/>
                <wp:docPr id="48" name="直接箭头连接符 48"/>
                <wp:cNvGraphicFramePr/>
                <a:graphic xmlns:a="http://schemas.openxmlformats.org/drawingml/2006/main">
                  <a:graphicData uri="http://schemas.microsoft.com/office/word/2010/wordprocessingShape">
                    <wps:wsp>
                      <wps:cNvCnPr/>
                      <wps:spPr>
                        <a:xfrm>
                          <a:off x="0" y="0"/>
                          <a:ext cx="1044575"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5.75pt;margin-top:21.45pt;height:0pt;width:82.25pt;z-index:251698176;mso-width-relative:page;mso-height-relative:page;" filled="f" stroked="t" coordsize="21600,21600" o:gfxdata="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lsiXNYAAAAIAQAADwAAAAAAAAABACAAAAAiAAAAZHJz&#10;L2Rvd25yZXYueG1sUEsBAhQAFAAAAAgAh07iQG9de04GAgAA5AMAAA4AAAAAAAAAAQAgAAAAJQEA&#10;AGRycy9lMm9Eb2MueG1sUEsFBgAAAAAGAAYAWQEAAJ0FAAAAAA==&#10;">
                <v:fill on="f" focussize="0,0"/>
                <v:stroke weight="1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2499995</wp:posOffset>
                </wp:positionH>
                <wp:positionV relativeFrom="paragraph">
                  <wp:posOffset>78105</wp:posOffset>
                </wp:positionV>
                <wp:extent cx="870585" cy="386080"/>
                <wp:effectExtent l="0" t="0" r="13335" b="10160"/>
                <wp:wrapNone/>
                <wp:docPr id="18" name="文本框 18"/>
                <wp:cNvGraphicFramePr/>
                <a:graphic xmlns:a="http://schemas.openxmlformats.org/drawingml/2006/main">
                  <a:graphicData uri="http://schemas.microsoft.com/office/word/2010/wordprocessingShape">
                    <wps:wsp>
                      <wps:cNvSpPr txBox="1"/>
                      <wps:spPr>
                        <a:xfrm>
                          <a:off x="3567430" y="8272145"/>
                          <a:ext cx="870585" cy="3860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36AD72A">
                            <w:pPr>
                              <w:jc w:val="center"/>
                              <w:rPr>
                                <w:rFonts w:hint="eastAsia" w:eastAsia="宋体"/>
                                <w:b/>
                                <w:bCs/>
                                <w:sz w:val="40"/>
                                <w:szCs w:val="40"/>
                                <w:lang w:eastAsia="zh-CN"/>
                              </w:rPr>
                            </w:pPr>
                            <w:r>
                              <w:rPr>
                                <w:rFonts w:hint="eastAsia" w:eastAsia="宋体"/>
                                <w:b/>
                                <w:bCs/>
                                <w:sz w:val="40"/>
                                <w:szCs w:val="40"/>
                                <w:lang w:eastAsia="zh-CN"/>
                              </w:rPr>
                              <w:t>事故</w:t>
                            </w:r>
                          </w:p>
                          <w:p w14:paraId="1D71449E">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6.85pt;margin-top:6.15pt;height:30.4pt;width:68.55pt;z-index:251671552;mso-width-relative:page;mso-height-relative:page;" fillcolor="#FFFFFF [3201]" filled="t" stroked="f" coordsize="21600,21600" o:gfxdata="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W6GPDU&#10;AAAACQEAAA8AAAAAAAAAAQAgAAAAIgAAAGRycy9kb3ducmV2LnhtbFBLAQIUABQAAAAIAIdO4kDq&#10;p9d9XQIAAJwEAAAOAAAAAAAAAAEAIAAAACMBAABkcnMvZTJvRG9jLnhtbFBLBQYAAAAABgAGAFkB&#10;AADyBQAAAAA=&#10;">
                <v:fill on="t" focussize="0,0"/>
                <v:stroke on="f" weight="0.5pt"/>
                <v:imagedata o:title=""/>
                <o:lock v:ext="edit" aspectratio="f"/>
                <v:textbox>
                  <w:txbxContent>
                    <w:p w14:paraId="736AD72A">
                      <w:pPr>
                        <w:jc w:val="center"/>
                        <w:rPr>
                          <w:rFonts w:hint="eastAsia" w:eastAsia="宋体"/>
                          <w:b/>
                          <w:bCs/>
                          <w:sz w:val="40"/>
                          <w:szCs w:val="40"/>
                          <w:lang w:eastAsia="zh-CN"/>
                        </w:rPr>
                      </w:pPr>
                      <w:r>
                        <w:rPr>
                          <w:rFonts w:hint="eastAsia" w:eastAsia="宋体"/>
                          <w:b/>
                          <w:bCs/>
                          <w:sz w:val="40"/>
                          <w:szCs w:val="40"/>
                          <w:lang w:eastAsia="zh-CN"/>
                        </w:rPr>
                        <w:t>事故</w:t>
                      </w:r>
                    </w:p>
                    <w:p w14:paraId="1D71449E">
                      <w:pPr>
                        <w:jc w:val="center"/>
                      </w:pPr>
                    </w:p>
                  </w:txbxContent>
                </v:textbox>
              </v:shape>
            </w:pict>
          </mc:Fallback>
        </mc:AlternateContent>
      </w:r>
    </w:p>
    <w:p w14:paraId="50175D8E"/>
    <w:p w14:paraId="563F2C0B">
      <w:pPr>
        <w:spacing w:before="102" w:line="228" w:lineRule="auto"/>
        <w:ind w:firstLine="2940" w:firstLineChars="1400"/>
        <w:sectPr>
          <w:footerReference r:id="rId5" w:type="default"/>
          <w:pgSz w:w="11906" w:h="16839"/>
          <w:pgMar w:top="1431" w:right="1485" w:bottom="1355" w:left="1599" w:header="0" w:footer="1184" w:gutter="0"/>
          <w:pgNumType w:fmt="decimal" w:start="1"/>
          <w:cols w:space="720" w:num="1"/>
        </w:sectPr>
      </w:pPr>
      <w:bookmarkStart w:id="106" w:name="_GoBack"/>
      <w:bookmarkEnd w:id="106"/>
    </w:p>
    <w:p w14:paraId="22BAF3F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0"/>
        <w:rPr>
          <w:rFonts w:hint="eastAsia" w:ascii="宋体" w:hAnsi="宋体" w:eastAsia="宋体" w:cs="宋体"/>
          <w:sz w:val="28"/>
          <w:szCs w:val="28"/>
          <w:lang w:val="zh-CN" w:eastAsia="zh-CN" w:bidi="zh-CN"/>
        </w:rPr>
      </w:pPr>
      <w:bookmarkStart w:id="102" w:name="_Toc15518"/>
      <w:bookmarkStart w:id="103" w:name="_Toc9526"/>
      <w:r>
        <w:rPr>
          <w:rFonts w:hint="eastAsia" w:ascii="黑体" w:hAnsi="黑体" w:eastAsia="黑体" w:cs="黑体"/>
          <w:spacing w:val="0"/>
          <w:sz w:val="32"/>
          <w:szCs w:val="32"/>
          <w:lang w:val="en-US" w:eastAsia="zh-CN" w:bidi="zh-CN"/>
        </w:rPr>
        <w:t>附件</w:t>
      </w:r>
      <w:bookmarkEnd w:id="102"/>
      <w:r>
        <w:rPr>
          <w:rFonts w:hint="eastAsia" w:ascii="黑体" w:hAnsi="黑体" w:eastAsia="黑体" w:cs="黑体"/>
          <w:spacing w:val="0"/>
          <w:sz w:val="32"/>
          <w:szCs w:val="32"/>
          <w:lang w:val="en-US" w:eastAsia="zh-CN" w:bidi="zh-CN"/>
        </w:rPr>
        <w:t>2</w:t>
      </w:r>
      <w:bookmarkEnd w:id="103"/>
    </w:p>
    <w:p w14:paraId="6C03B237">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jc w:val="center"/>
        <w:textAlignment w:val="baseline"/>
        <w:outlineLvl w:val="0"/>
        <w:rPr>
          <w:rFonts w:hint="eastAsia" w:ascii="方正小标宋简体" w:hAnsi="方正小标宋简体" w:eastAsia="方正小标宋简体" w:cs="方正小标宋简体"/>
          <w:b w:val="0"/>
          <w:bCs w:val="0"/>
          <w:snapToGrid w:val="0"/>
          <w:color w:val="000000"/>
          <w:spacing w:val="0"/>
          <w:sz w:val="44"/>
          <w:szCs w:val="44"/>
          <w:lang w:val="en-US" w:eastAsia="zh-CN" w:bidi="ar-SA"/>
        </w:rPr>
      </w:pPr>
      <w:bookmarkStart w:id="104" w:name="_Toc26944"/>
      <w:bookmarkStart w:id="105" w:name="_Toc23571"/>
    </w:p>
    <w:p w14:paraId="0F90E975">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jc w:val="center"/>
        <w:textAlignment w:val="baseline"/>
        <w:outlineLvl w:val="0"/>
        <w:rPr>
          <w:rFonts w:hint="eastAsia" w:ascii="方正小标宋简体" w:hAnsi="方正小标宋简体" w:eastAsia="方正小标宋简体" w:cs="方正小标宋简体"/>
          <w:b w:val="0"/>
          <w:bCs w:val="0"/>
          <w:snapToGrid w:val="0"/>
          <w:color w:val="000000"/>
          <w:spacing w:val="0"/>
          <w:sz w:val="44"/>
          <w:szCs w:val="44"/>
          <w:lang w:val="en-US" w:eastAsia="zh-CN" w:bidi="ar-SA"/>
        </w:rPr>
      </w:pPr>
      <w:r>
        <w:rPr>
          <w:rFonts w:hint="eastAsia" w:ascii="方正小标宋简体" w:hAnsi="方正小标宋简体" w:eastAsia="方正小标宋简体" w:cs="方正小标宋简体"/>
          <w:b w:val="0"/>
          <w:bCs w:val="0"/>
          <w:snapToGrid w:val="0"/>
          <w:color w:val="000000"/>
          <w:spacing w:val="0"/>
          <w:sz w:val="44"/>
          <w:szCs w:val="44"/>
          <w:lang w:val="en-US" w:eastAsia="zh-CN" w:bidi="ar-SA"/>
        </w:rPr>
        <w:t>风险分级管控及评价方法</w:t>
      </w:r>
      <w:bookmarkEnd w:id="104"/>
      <w:bookmarkEnd w:id="105"/>
    </w:p>
    <w:p w14:paraId="154FD386">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lang w:val="en-US" w:eastAsia="zh-CN"/>
        </w:rPr>
      </w:pPr>
    </w:p>
    <w:p w14:paraId="254F570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LS法安全风险评价判定准则</w:t>
      </w:r>
    </w:p>
    <w:p w14:paraId="32A1F2C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1.风险矩阵法的主要内容是：</w:t>
      </w:r>
      <w:r>
        <w:rPr>
          <w:rFonts w:hint="eastAsia" w:ascii="仿宋" w:hAnsi="仿宋" w:eastAsia="仿宋" w:cs="仿宋"/>
          <w:sz w:val="32"/>
          <w:szCs w:val="32"/>
          <w:lang w:val="zh-CN" w:eastAsia="zh-CN" w:bidi="zh-CN"/>
        </w:rPr>
        <w:t>识别出存在的风险，分析和评价风险事件发生的可能性和后果，二者相乘，得出风险的风险值，确定风险级别，进而决定应当采取的风险控制措施。</w:t>
      </w:r>
    </w:p>
    <w:p w14:paraId="1814091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数学表达式为：R=L×S，其中，</w:t>
      </w:r>
    </w:p>
    <w:p w14:paraId="11F2D25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R代表风险值；</w:t>
      </w:r>
    </w:p>
    <w:p w14:paraId="1D83ADC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L代表风险事件发生可能性；</w:t>
      </w:r>
    </w:p>
    <w:p w14:paraId="44788BA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S代表风险事件后果严重程度。</w:t>
      </w:r>
    </w:p>
    <w:p w14:paraId="2E9625D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2.风险事件发生可能性（L）取值</w:t>
      </w:r>
    </w:p>
    <w:p w14:paraId="123A5EF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针对识别出的风险，对照风险事件发生的可能性，取其最大值作为最终L值，即满足若干条件之一时就取对应的L值，而无需满足所有条件。对照过程中，涉及到资料的，要见证到具体名称和条款；涉及到人员的，要具体到所有参与者。</w:t>
      </w:r>
    </w:p>
    <w:p w14:paraId="032BD66B">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事件发生的可能性（L）用事件发生的概率表示，取值如下表所示：</w:t>
      </w:r>
    </w:p>
    <w:p w14:paraId="3FE035A0">
      <w:pPr>
        <w:pStyle w:val="2"/>
        <w:rPr>
          <w:rFonts w:hint="eastAsia"/>
          <w:lang w:val="zh-CN" w:eastAsia="zh-CN"/>
        </w:rPr>
      </w:pPr>
    </w:p>
    <w:p w14:paraId="55B0DF1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风险事件发生可能性（L）参考取值表</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484"/>
        <w:gridCol w:w="1034"/>
        <w:gridCol w:w="1553"/>
        <w:gridCol w:w="1648"/>
        <w:gridCol w:w="2359"/>
        <w:gridCol w:w="1444"/>
      </w:tblGrid>
      <w:tr w14:paraId="46274E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tcW w:w="464" w:type="dxa"/>
            <w:shd w:val="clear" w:color="auto" w:fill="auto"/>
            <w:vAlign w:val="center"/>
          </w:tcPr>
          <w:p w14:paraId="31F068F3">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L</w:t>
            </w:r>
          </w:p>
        </w:tc>
        <w:tc>
          <w:tcPr>
            <w:tcW w:w="1034" w:type="dxa"/>
            <w:shd w:val="clear" w:color="auto" w:fill="auto"/>
            <w:vAlign w:val="center"/>
          </w:tcPr>
          <w:p w14:paraId="159B99E6">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参考频率</w:t>
            </w:r>
          </w:p>
        </w:tc>
        <w:tc>
          <w:tcPr>
            <w:tcW w:w="1553" w:type="dxa"/>
            <w:shd w:val="clear" w:color="auto" w:fill="auto"/>
            <w:vAlign w:val="center"/>
          </w:tcPr>
          <w:p w14:paraId="0A71FB13">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人员情况</w:t>
            </w:r>
          </w:p>
        </w:tc>
        <w:tc>
          <w:tcPr>
            <w:tcW w:w="1648" w:type="dxa"/>
            <w:shd w:val="clear" w:color="auto" w:fill="auto"/>
            <w:vAlign w:val="center"/>
          </w:tcPr>
          <w:p w14:paraId="03A31063">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设备设施、工器具及材料</w:t>
            </w:r>
          </w:p>
        </w:tc>
        <w:tc>
          <w:tcPr>
            <w:shd w:val="clear" w:color="auto" w:fill="auto"/>
            <w:vAlign w:val="center"/>
          </w:tcPr>
          <w:p w14:paraId="7FDD970B">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w:t>
            </w:r>
          </w:p>
          <w:p w14:paraId="0CF41B2E">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状况</w:t>
            </w:r>
          </w:p>
        </w:tc>
        <w:tc>
          <w:tcPr>
            <w:shd w:val="clear" w:color="auto" w:fill="auto"/>
            <w:vAlign w:val="center"/>
          </w:tcPr>
          <w:p w14:paraId="26EC0565">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规程和针对性管理方案</w:t>
            </w:r>
          </w:p>
        </w:tc>
      </w:tr>
      <w:tr w14:paraId="0F4A67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855" w:hRule="atLeast"/>
          <w:jc w:val="center"/>
        </w:trPr>
        <w:tc>
          <w:tcPr>
            <w:tcW w:w="464" w:type="dxa"/>
            <w:shd w:val="clear" w:color="auto" w:fill="auto"/>
            <w:vAlign w:val="center"/>
          </w:tcPr>
          <w:p w14:paraId="5B78122D">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tcW w:w="1034" w:type="dxa"/>
            <w:shd w:val="clear" w:color="auto" w:fill="auto"/>
            <w:textDirection w:val="tbLrV"/>
            <w:vAlign w:val="center"/>
          </w:tcPr>
          <w:p w14:paraId="659F6CD2">
            <w:pPr>
              <w:widowControl w:val="0"/>
              <w:autoSpaceDE w:val="0"/>
              <w:autoSpaceDN w:val="0"/>
              <w:spacing w:before="60" w:after="60"/>
              <w:ind w:left="108" w:leftChars="0" w:right="113"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本企业一年内发生过</w:t>
            </w:r>
          </w:p>
        </w:tc>
        <w:tc>
          <w:tcPr>
            <w:tcW w:w="1553" w:type="dxa"/>
            <w:shd w:val="clear" w:color="auto" w:fill="auto"/>
            <w:vAlign w:val="center"/>
          </w:tcPr>
          <w:p w14:paraId="7EC5ACA9">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无培训，无经验</w:t>
            </w:r>
          </w:p>
        </w:tc>
        <w:tc>
          <w:tcPr>
            <w:tcW w:w="1648" w:type="dxa"/>
            <w:shd w:val="clear" w:color="auto" w:fill="auto"/>
            <w:vAlign w:val="center"/>
          </w:tcPr>
          <w:p w14:paraId="55E12F95">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超期运行或超检验期</w:t>
            </w:r>
          </w:p>
        </w:tc>
        <w:tc>
          <w:tcPr>
            <w:shd w:val="clear" w:color="auto" w:fill="auto"/>
            <w:vAlign w:val="center"/>
          </w:tcPr>
          <w:p w14:paraId="255E0F82">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危险化学品生产贮存区域；存在或可能产生危害气体</w:t>
            </w:r>
          </w:p>
        </w:tc>
        <w:tc>
          <w:tcPr>
            <w:shd w:val="clear" w:color="auto" w:fill="auto"/>
            <w:vAlign w:val="center"/>
          </w:tcPr>
          <w:p w14:paraId="6A2EEC09">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没有</w:t>
            </w:r>
          </w:p>
        </w:tc>
      </w:tr>
      <w:tr w14:paraId="03BBDD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775" w:hRule="atLeast"/>
          <w:jc w:val="center"/>
        </w:trPr>
        <w:tc>
          <w:tcPr>
            <w:tcW w:w="464" w:type="dxa"/>
            <w:shd w:val="clear" w:color="auto" w:fill="auto"/>
            <w:vAlign w:val="center"/>
          </w:tcPr>
          <w:p w14:paraId="68E24EE9">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tcW w:w="1034" w:type="dxa"/>
            <w:shd w:val="clear" w:color="auto" w:fill="auto"/>
            <w:textDirection w:val="tbLrV"/>
            <w:vAlign w:val="center"/>
          </w:tcPr>
          <w:p w14:paraId="4345CDC5">
            <w:pPr>
              <w:widowControl w:val="0"/>
              <w:autoSpaceDE w:val="0"/>
              <w:autoSpaceDN w:val="0"/>
              <w:spacing w:before="60" w:after="60"/>
              <w:ind w:left="108" w:leftChars="0" w:right="113"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本集团一年内发生过</w:t>
            </w:r>
          </w:p>
        </w:tc>
        <w:tc>
          <w:tcPr>
            <w:tcW w:w="1553" w:type="dxa"/>
            <w:shd w:val="clear" w:color="auto" w:fill="auto"/>
            <w:vAlign w:val="center"/>
          </w:tcPr>
          <w:p w14:paraId="04A6D20A">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有培训但培训时间不够或未达成效果</w:t>
            </w:r>
          </w:p>
        </w:tc>
        <w:tc>
          <w:tcPr>
            <w:tcW w:w="1648" w:type="dxa"/>
            <w:shd w:val="clear" w:color="auto" w:fill="auto"/>
            <w:vAlign w:val="center"/>
          </w:tcPr>
          <w:p w14:paraId="0088632A">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保护自动装置功能不完善，存在质量缺陷</w:t>
            </w:r>
          </w:p>
        </w:tc>
        <w:tc>
          <w:tcPr>
            <w:shd w:val="clear" w:color="auto" w:fill="auto"/>
            <w:vAlign w:val="center"/>
          </w:tcPr>
          <w:p w14:paraId="038C0EE0">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作业空间受限；作业立体交叉；恶劣气象条件；高空或在运行设备设施上作业</w:t>
            </w:r>
          </w:p>
        </w:tc>
        <w:tc>
          <w:tcPr>
            <w:shd w:val="clear" w:color="auto" w:fill="auto"/>
            <w:vAlign w:val="center"/>
          </w:tcPr>
          <w:p w14:paraId="1BE16752">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有，但不完善，且只偶尔执行</w:t>
            </w:r>
          </w:p>
        </w:tc>
      </w:tr>
      <w:tr w14:paraId="69F414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823" w:hRule="atLeast"/>
          <w:jc w:val="center"/>
        </w:trPr>
        <w:tc>
          <w:tcPr>
            <w:tcW w:w="464" w:type="dxa"/>
            <w:shd w:val="clear" w:color="auto" w:fill="auto"/>
            <w:vAlign w:val="center"/>
          </w:tcPr>
          <w:p w14:paraId="62929A43">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tcW w:w="1034" w:type="dxa"/>
            <w:shd w:val="clear" w:color="auto" w:fill="auto"/>
            <w:textDirection w:val="tbLrV"/>
            <w:vAlign w:val="center"/>
          </w:tcPr>
          <w:p w14:paraId="4A8355DF">
            <w:pPr>
              <w:widowControl w:val="0"/>
              <w:autoSpaceDE w:val="0"/>
              <w:autoSpaceDN w:val="0"/>
              <w:spacing w:before="60" w:after="60"/>
              <w:ind w:left="108" w:leftChars="0" w:right="113"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本行业一年内发生过</w:t>
            </w:r>
          </w:p>
        </w:tc>
        <w:tc>
          <w:tcPr>
            <w:tcW w:w="1553" w:type="dxa"/>
            <w:shd w:val="clear" w:color="auto" w:fill="auto"/>
            <w:vAlign w:val="center"/>
          </w:tcPr>
          <w:p w14:paraId="6047703F">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经验不足，多次出现差错</w:t>
            </w:r>
          </w:p>
        </w:tc>
        <w:tc>
          <w:tcPr>
            <w:tcW w:w="1648" w:type="dxa"/>
            <w:shd w:val="clear" w:color="auto" w:fill="auto"/>
            <w:vAlign w:val="center"/>
          </w:tcPr>
          <w:p w14:paraId="2966EFD4">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基本完好，但安全装置不完善</w:t>
            </w:r>
          </w:p>
        </w:tc>
        <w:tc>
          <w:tcPr>
            <w:shd w:val="clear" w:color="auto" w:fill="auto"/>
            <w:vAlign w:val="center"/>
          </w:tcPr>
          <w:p w14:paraId="7EF473B8">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通风、光照或温度需要采取措施才能作业；周围有运行设备；立面有同时作业</w:t>
            </w:r>
          </w:p>
        </w:tc>
        <w:tc>
          <w:tcPr>
            <w:shd w:val="clear" w:color="auto" w:fill="auto"/>
            <w:vAlign w:val="center"/>
          </w:tcPr>
          <w:p w14:paraId="751B551A">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有，较完善，但只部分执行</w:t>
            </w:r>
          </w:p>
        </w:tc>
      </w:tr>
      <w:tr w14:paraId="0C24F4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3123" w:hRule="atLeast"/>
          <w:jc w:val="center"/>
        </w:trPr>
        <w:tc>
          <w:tcPr>
            <w:tcW w:w="464" w:type="dxa"/>
            <w:shd w:val="clear" w:color="auto" w:fill="auto"/>
            <w:vAlign w:val="center"/>
          </w:tcPr>
          <w:p w14:paraId="12B5D245">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tcW w:w="1034" w:type="dxa"/>
            <w:shd w:val="clear" w:color="auto" w:fill="auto"/>
            <w:textDirection w:val="tbLrV"/>
            <w:vAlign w:val="center"/>
          </w:tcPr>
          <w:p w14:paraId="51B320B2">
            <w:pPr>
              <w:widowControl w:val="0"/>
              <w:autoSpaceDE w:val="0"/>
              <w:autoSpaceDN w:val="0"/>
              <w:spacing w:before="60" w:after="60"/>
              <w:ind w:left="108" w:leftChars="0" w:right="113"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全国范围一年内发生过</w:t>
            </w:r>
          </w:p>
        </w:tc>
        <w:tc>
          <w:tcPr>
            <w:tcW w:w="1553" w:type="dxa"/>
            <w:shd w:val="clear" w:color="auto" w:fill="auto"/>
            <w:vAlign w:val="center"/>
          </w:tcPr>
          <w:p w14:paraId="6D4A74F9">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偶尔出现差错</w:t>
            </w:r>
          </w:p>
        </w:tc>
        <w:tc>
          <w:tcPr>
            <w:tcW w:w="1648" w:type="dxa"/>
            <w:shd w:val="clear" w:color="auto" w:fill="auto"/>
            <w:vAlign w:val="center"/>
          </w:tcPr>
          <w:p w14:paraId="2978CA3A">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总体完好，但有缺陷</w:t>
            </w:r>
          </w:p>
        </w:tc>
        <w:tc>
          <w:tcPr>
            <w:shd w:val="clear" w:color="auto" w:fill="auto"/>
            <w:vAlign w:val="center"/>
          </w:tcPr>
          <w:p w14:paraId="333C0DF2">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通风、光照或温度不影响作业；系统停运；同一作业面有其它作业</w:t>
            </w:r>
          </w:p>
        </w:tc>
        <w:tc>
          <w:tcPr>
            <w:shd w:val="clear" w:color="auto" w:fill="auto"/>
            <w:vAlign w:val="center"/>
          </w:tcPr>
          <w:p w14:paraId="562A05DC">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有，完善，但偶尔不执行</w:t>
            </w:r>
          </w:p>
        </w:tc>
      </w:tr>
      <w:tr w14:paraId="26674F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1772" w:hRule="atLeast"/>
          <w:jc w:val="center"/>
        </w:trPr>
        <w:tc>
          <w:tcPr>
            <w:tcW w:w="464" w:type="dxa"/>
            <w:shd w:val="clear" w:color="auto" w:fill="auto"/>
            <w:vAlign w:val="center"/>
          </w:tcPr>
          <w:p w14:paraId="7C88FEF2">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tcW w:w="1034" w:type="dxa"/>
            <w:shd w:val="clear" w:color="auto" w:fill="auto"/>
            <w:textDirection w:val="tbLrV"/>
            <w:vAlign w:val="center"/>
          </w:tcPr>
          <w:p w14:paraId="7003792A">
            <w:pPr>
              <w:widowControl w:val="0"/>
              <w:autoSpaceDE w:val="0"/>
              <w:autoSpaceDN w:val="0"/>
              <w:spacing w:before="60" w:after="60"/>
              <w:ind w:left="108" w:leftChars="0" w:right="113"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从未发生过</w:t>
            </w:r>
          </w:p>
        </w:tc>
        <w:tc>
          <w:tcPr>
            <w:tcW w:w="1553" w:type="dxa"/>
            <w:shd w:val="clear" w:color="auto" w:fill="auto"/>
            <w:vAlign w:val="center"/>
          </w:tcPr>
          <w:p w14:paraId="2A4C0AB2">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培训充分，经验丰富，安全意识强</w:t>
            </w:r>
          </w:p>
        </w:tc>
        <w:tc>
          <w:tcPr>
            <w:tcW w:w="1648" w:type="dxa"/>
            <w:shd w:val="clear" w:color="auto" w:fill="auto"/>
            <w:vAlign w:val="center"/>
          </w:tcPr>
          <w:p w14:paraId="3050E456">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完好，无缺陷</w:t>
            </w:r>
          </w:p>
        </w:tc>
        <w:tc>
          <w:tcPr>
            <w:shd w:val="clear" w:color="auto" w:fill="auto"/>
            <w:vAlign w:val="center"/>
          </w:tcPr>
          <w:p w14:paraId="2D5CD062">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通风、光照良好，温度适宜；系统停运且周围无运行设备</w:t>
            </w:r>
          </w:p>
        </w:tc>
        <w:tc>
          <w:tcPr>
            <w:shd w:val="clear" w:color="auto" w:fill="auto"/>
            <w:vAlign w:val="center"/>
          </w:tcPr>
          <w:p w14:paraId="16792959">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有，完善，严格执行</w:t>
            </w:r>
          </w:p>
        </w:tc>
      </w:tr>
    </w:tbl>
    <w:p w14:paraId="3685930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注：当缺少基础资料或者无法取得充分可靠的数据或者分析数据不具有成本效益性时，取值可参照类似性质、规模企业的业内平均水平。</w:t>
      </w:r>
    </w:p>
    <w:p w14:paraId="3067497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3.风险事件后果严重程度（S）取值</w:t>
      </w:r>
    </w:p>
    <w:p w14:paraId="092C47A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从人员伤亡、经济损失二个维度对风险事件后果严重程度进行评价取值，以最大值作为最终S值，即满足若干条件之一时就取对应的S值，而无需满足所有条件。</w:t>
      </w:r>
    </w:p>
    <w:p w14:paraId="6F92CDAD">
      <w:pPr>
        <w:pStyle w:val="2"/>
        <w:rPr>
          <w:rFonts w:hint="eastAsia"/>
          <w:lang w:val="zh-CN" w:eastAsia="zh-CN"/>
        </w:rPr>
      </w:pPr>
    </w:p>
    <w:p w14:paraId="307AB51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风险事件后果严重程度（S）参考取值表</w:t>
      </w:r>
    </w:p>
    <w:tbl>
      <w:tblPr>
        <w:tblStyle w:val="15"/>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484"/>
        <w:gridCol w:w="3436"/>
        <w:gridCol w:w="4859"/>
      </w:tblGrid>
      <w:tr w14:paraId="2DCDB6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4BC3835B">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S</w:t>
            </w:r>
          </w:p>
        </w:tc>
        <w:tc>
          <w:tcPr>
            <w:shd w:val="clear" w:color="auto" w:fill="auto"/>
            <w:vAlign w:val="center"/>
          </w:tcPr>
          <w:p w14:paraId="7F18D38E">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可能造成的人身伤害</w:t>
            </w:r>
          </w:p>
        </w:tc>
        <w:tc>
          <w:tcPr>
            <w:shd w:val="clear" w:color="auto" w:fill="auto"/>
            <w:vAlign w:val="center"/>
          </w:tcPr>
          <w:p w14:paraId="33C1A23B">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可能造成的财产损失、设备设施损坏</w:t>
            </w:r>
          </w:p>
        </w:tc>
      </w:tr>
      <w:tr w14:paraId="5B864F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27E1EB3C">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shd w:val="clear" w:color="auto" w:fill="auto"/>
            <w:vAlign w:val="center"/>
          </w:tcPr>
          <w:p w14:paraId="6B701CCE">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3人及以上死亡或7人及以上重伤</w:t>
            </w:r>
          </w:p>
        </w:tc>
        <w:tc>
          <w:tcPr>
            <w:shd w:val="clear" w:color="auto" w:fill="auto"/>
            <w:vAlign w:val="center"/>
          </w:tcPr>
          <w:p w14:paraId="6A26A5AD">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直接经济损失在1000万元及以上</w:t>
            </w:r>
          </w:p>
        </w:tc>
      </w:tr>
      <w:tr w14:paraId="0A56EA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4112F1E6">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shd w:val="clear" w:color="auto" w:fill="auto"/>
            <w:vAlign w:val="center"/>
          </w:tcPr>
          <w:p w14:paraId="6EFF9235">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1-2人死亡或3-6人重伤</w:t>
            </w:r>
          </w:p>
        </w:tc>
        <w:tc>
          <w:tcPr>
            <w:shd w:val="clear" w:color="auto" w:fill="auto"/>
            <w:vAlign w:val="center"/>
          </w:tcPr>
          <w:p w14:paraId="18E592FA">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直接经济损失在100万元及以上，1000万元以下</w:t>
            </w:r>
          </w:p>
        </w:tc>
      </w:tr>
      <w:tr w14:paraId="164A97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2CC8B7C5">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shd w:val="clear" w:color="auto" w:fill="auto"/>
            <w:vAlign w:val="center"/>
          </w:tcPr>
          <w:p w14:paraId="1DF2A82F">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造成1至2人重伤或3至6人轻伤</w:t>
            </w:r>
          </w:p>
        </w:tc>
        <w:tc>
          <w:tcPr>
            <w:shd w:val="clear" w:color="auto" w:fill="auto"/>
            <w:vAlign w:val="center"/>
          </w:tcPr>
          <w:p w14:paraId="7F70C729">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直接经济损失在10万元及以上，100万元以下</w:t>
            </w:r>
          </w:p>
        </w:tc>
      </w:tr>
      <w:tr w14:paraId="340027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227095C9">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shd w:val="clear" w:color="auto" w:fill="auto"/>
            <w:vAlign w:val="center"/>
          </w:tcPr>
          <w:p w14:paraId="248CA5AF">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1至2人轻伤</w:t>
            </w:r>
          </w:p>
        </w:tc>
        <w:tc>
          <w:tcPr>
            <w:shd w:val="clear" w:color="auto" w:fill="auto"/>
            <w:vAlign w:val="center"/>
          </w:tcPr>
          <w:p w14:paraId="5D8FC371">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直接经济损失一万元及以上，10万元以下</w:t>
            </w:r>
          </w:p>
        </w:tc>
      </w:tr>
      <w:tr w14:paraId="0970BA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598" w:hRule="atLeast"/>
          <w:jc w:val="center"/>
        </w:trPr>
        <w:tc>
          <w:tcPr>
            <w:shd w:val="clear" w:color="auto" w:fill="auto"/>
            <w:vAlign w:val="center"/>
          </w:tcPr>
          <w:p w14:paraId="3C2C6297">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shd w:val="clear" w:color="auto" w:fill="auto"/>
            <w:vAlign w:val="center"/>
          </w:tcPr>
          <w:p w14:paraId="3364A3F2">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1至2人轻微伤</w:t>
            </w:r>
          </w:p>
        </w:tc>
        <w:tc>
          <w:tcPr>
            <w:shd w:val="clear" w:color="auto" w:fill="auto"/>
            <w:vAlign w:val="center"/>
          </w:tcPr>
          <w:p w14:paraId="47B6534D">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直接经济损失在1万元以下</w:t>
            </w:r>
          </w:p>
        </w:tc>
      </w:tr>
    </w:tbl>
    <w:p w14:paraId="57CCECA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p>
    <w:p w14:paraId="4A9911E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4.风险评价</w:t>
      </w:r>
    </w:p>
    <w:p w14:paraId="22AEF7A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风险评价是根据风险分析的结果，确定风险等级。</w:t>
      </w:r>
    </w:p>
    <w:p w14:paraId="23630DB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4.1风险值（R）</w:t>
      </w:r>
    </w:p>
    <w:p w14:paraId="1562ED7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根据公式R=L×S计算出风险的风险值（R），并取最大值作为该风险的最终风险值（R）。</w:t>
      </w:r>
    </w:p>
    <w:p w14:paraId="5CF09D1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p>
    <w:p w14:paraId="3E41F4D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风险矩阵（R）</w:t>
      </w:r>
    </w:p>
    <w:p w14:paraId="02CCA6E5">
      <w:pPr>
        <w:widowControl w:val="0"/>
        <w:autoSpaceDE w:val="0"/>
        <w:autoSpaceDN w:val="0"/>
        <w:ind w:left="0" w:leftChars="0" w:firstLine="0" w:firstLineChars="0"/>
        <w:jc w:val="center"/>
        <w:rPr>
          <w:rFonts w:ascii="宋体" w:hAnsi="宋体" w:eastAsia="宋体" w:cs="宋体"/>
          <w:sz w:val="28"/>
          <w:szCs w:val="28"/>
          <w:lang w:val="zh-CN" w:eastAsia="zh-CN" w:bidi="zh-CN"/>
        </w:rPr>
      </w:pPr>
      <w:r>
        <w:rPr>
          <w:rFonts w:ascii="宋体" w:hAnsi="宋体" w:eastAsia="宋体" w:cs="宋体"/>
          <w:sz w:val="28"/>
          <w:szCs w:val="28"/>
          <w:lang w:val="zh-CN" w:eastAsia="zh-CN" w:bidi="zh-CN"/>
        </w:rPr>
        <w:drawing>
          <wp:inline distT="0" distB="0" distL="114300" distR="114300">
            <wp:extent cx="5201920" cy="2435225"/>
            <wp:effectExtent l="0" t="0" r="10160" b="3175"/>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8"/>
                    <a:stretch>
                      <a:fillRect/>
                    </a:stretch>
                  </pic:blipFill>
                  <pic:spPr>
                    <a:xfrm>
                      <a:off x="0" y="0"/>
                      <a:ext cx="5201920" cy="2435225"/>
                    </a:xfrm>
                    <a:prstGeom prst="rect">
                      <a:avLst/>
                    </a:prstGeom>
                    <a:noFill/>
                    <a:ln w="9525">
                      <a:noFill/>
                    </a:ln>
                  </pic:spPr>
                </pic:pic>
              </a:graphicData>
            </a:graphic>
          </wp:inline>
        </w:drawing>
      </w:r>
    </w:p>
    <w:p w14:paraId="34FBDF0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4.2风险等级</w:t>
      </w:r>
    </w:p>
    <w:p w14:paraId="0F6E28F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根据风险值（R）的大小，将风险由高到低分为重大风险、较大风险、一般风险和低风险四个等级。</w:t>
      </w:r>
    </w:p>
    <w:p w14:paraId="67A7F538">
      <w:pPr>
        <w:pStyle w:val="2"/>
        <w:rPr>
          <w:rFonts w:hint="eastAsia"/>
          <w:lang w:val="zh-CN" w:eastAsia="zh-CN"/>
        </w:rPr>
      </w:pPr>
    </w:p>
    <w:p w14:paraId="2FAE8935">
      <w:pPr>
        <w:widowControl w:val="0"/>
        <w:autoSpaceDE w:val="0"/>
        <w:autoSpaceDN w:val="0"/>
        <w:ind w:left="0" w:leftChars="0" w:firstLine="0" w:firstLineChars="0"/>
        <w:jc w:val="center"/>
        <w:rPr>
          <w:rFonts w:ascii="宋体" w:hAnsi="宋体" w:eastAsia="宋体" w:cs="宋体"/>
          <w:sz w:val="28"/>
          <w:szCs w:val="28"/>
          <w:lang w:val="zh-CN" w:eastAsia="zh-CN" w:bidi="zh-CN"/>
        </w:rPr>
      </w:pPr>
      <w:r>
        <w:rPr>
          <w:rFonts w:ascii="宋体" w:hAnsi="宋体" w:eastAsia="宋体" w:cs="宋体"/>
          <w:sz w:val="28"/>
          <w:szCs w:val="28"/>
          <w:lang w:val="zh-CN" w:eastAsia="zh-CN" w:bidi="zh-CN"/>
        </w:rPr>
        <w:drawing>
          <wp:inline distT="0" distB="0" distL="114300" distR="114300">
            <wp:extent cx="5735320" cy="2129155"/>
            <wp:effectExtent l="0" t="0" r="10160" b="4445"/>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9"/>
                    <a:stretch>
                      <a:fillRect/>
                    </a:stretch>
                  </pic:blipFill>
                  <pic:spPr>
                    <a:xfrm>
                      <a:off x="0" y="0"/>
                      <a:ext cx="5735320" cy="2129155"/>
                    </a:xfrm>
                    <a:prstGeom prst="rect">
                      <a:avLst/>
                    </a:prstGeom>
                    <a:noFill/>
                    <a:ln w="9525">
                      <a:noFill/>
                    </a:ln>
                  </pic:spPr>
                </pic:pic>
              </a:graphicData>
            </a:graphic>
          </wp:inline>
        </w:drawing>
      </w:r>
    </w:p>
    <w:p w14:paraId="45EB4A0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p>
    <w:p w14:paraId="5BFF439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LEC法安全风险评价判定准则</w:t>
      </w:r>
    </w:p>
    <w:p w14:paraId="328D650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表1</w:t>
      </w:r>
      <w:r>
        <w:rPr>
          <w:rFonts w:hint="eastAsia" w:ascii="仿宋" w:hAnsi="仿宋" w:eastAsia="仿宋" w:cs="仿宋"/>
          <w:b/>
          <w:bCs/>
          <w:sz w:val="32"/>
          <w:szCs w:val="32"/>
          <w:lang w:val="en-US" w:eastAsia="zh-CN" w:bidi="zh-CN"/>
        </w:rPr>
        <w:t xml:space="preserve"> </w:t>
      </w:r>
      <w:r>
        <w:rPr>
          <w:rFonts w:hint="eastAsia" w:ascii="仿宋" w:hAnsi="仿宋" w:eastAsia="仿宋" w:cs="仿宋"/>
          <w:b/>
          <w:bCs/>
          <w:sz w:val="32"/>
          <w:szCs w:val="32"/>
          <w:lang w:val="zh-CN" w:eastAsia="zh-CN" w:bidi="zh-CN"/>
        </w:rPr>
        <w:t>可能性（L）基准值</w:t>
      </w:r>
    </w:p>
    <w:tbl>
      <w:tblPr>
        <w:tblStyle w:val="15"/>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679"/>
        <w:gridCol w:w="4827"/>
        <w:gridCol w:w="2506"/>
        <w:gridCol w:w="767"/>
      </w:tblGrid>
      <w:tr w14:paraId="5A62C9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587" w:hRule="atLeast"/>
          <w:jc w:val="center"/>
        </w:trPr>
        <w:tc>
          <w:tcPr>
            <w:vMerge w:val="restart"/>
            <w:shd w:val="clear" w:color="auto" w:fill="auto"/>
            <w:vAlign w:val="center"/>
          </w:tcPr>
          <w:p w14:paraId="0193487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序号</w:t>
            </w:r>
          </w:p>
        </w:tc>
        <w:tc>
          <w:tcPr>
            <w:gridSpan w:val="2"/>
            <w:shd w:val="clear" w:color="auto" w:fill="auto"/>
            <w:vAlign w:val="center"/>
          </w:tcPr>
          <w:p w14:paraId="7721F163">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事故发生的可能性</w:t>
            </w:r>
          </w:p>
        </w:tc>
        <w:tc>
          <w:tcPr>
            <w:vMerge w:val="restart"/>
            <w:shd w:val="clear" w:color="auto" w:fill="auto"/>
            <w:vAlign w:val="center"/>
          </w:tcPr>
          <w:p w14:paraId="273E332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分值</w:t>
            </w:r>
          </w:p>
        </w:tc>
      </w:tr>
      <w:tr w14:paraId="3765A8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vMerge w:val="continue"/>
            <w:shd w:val="clear" w:color="auto" w:fill="auto"/>
            <w:vAlign w:val="center"/>
          </w:tcPr>
          <w:p w14:paraId="5D6C0DA8">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3EB3F75C">
            <w:pPr>
              <w:widowControl w:val="0"/>
              <w:autoSpaceDE w:val="0"/>
              <w:autoSpaceDN w:val="0"/>
              <w:spacing w:before="60" w:after="60"/>
              <w:ind w:left="108" w:firstLine="0" w:firstLineChars="0"/>
              <w:jc w:val="left"/>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人员伤亡、火灾、设备损坏、生产中断、环境污染</w:t>
            </w:r>
          </w:p>
        </w:tc>
        <w:tc>
          <w:tcPr>
            <w:shd w:val="clear" w:color="auto" w:fill="auto"/>
            <w:vAlign w:val="center"/>
          </w:tcPr>
          <w:p w14:paraId="150A953B">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职业健康损害</w:t>
            </w:r>
          </w:p>
        </w:tc>
        <w:tc>
          <w:tcPr>
            <w:vMerge w:val="continue"/>
            <w:shd w:val="clear" w:color="auto" w:fill="auto"/>
            <w:vAlign w:val="center"/>
          </w:tcPr>
          <w:p w14:paraId="7206E888">
            <w:pPr>
              <w:widowControl w:val="0"/>
              <w:kinsoku/>
              <w:adjustRightInd/>
              <w:snapToGrid/>
              <w:textAlignment w:val="auto"/>
              <w:rPr>
                <w:rFonts w:hint="eastAsia" w:ascii="仿宋" w:hAnsi="仿宋" w:eastAsia="仿宋" w:cs="仿宋"/>
                <w:snapToGrid/>
                <w:sz w:val="32"/>
                <w:szCs w:val="32"/>
                <w:lang w:val="zh-CN" w:eastAsia="zh-CN" w:bidi="zh-CN"/>
              </w:rPr>
            </w:pPr>
          </w:p>
        </w:tc>
      </w:tr>
      <w:tr w14:paraId="5024D3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43CBA35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shd w:val="clear" w:color="auto" w:fill="auto"/>
            <w:vAlign w:val="center"/>
          </w:tcPr>
          <w:p w14:paraId="36087159">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如果危害事件发生，即产生最可能和预期的结果（100%）</w:t>
            </w:r>
          </w:p>
        </w:tc>
        <w:tc>
          <w:tcPr>
            <w:shd w:val="clear" w:color="auto" w:fill="auto"/>
            <w:vAlign w:val="center"/>
          </w:tcPr>
          <w:p w14:paraId="346AB875">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频繁：平均每6个月发生一次</w:t>
            </w:r>
          </w:p>
        </w:tc>
        <w:tc>
          <w:tcPr>
            <w:shd w:val="clear" w:color="auto" w:fill="auto"/>
            <w:vAlign w:val="center"/>
          </w:tcPr>
          <w:p w14:paraId="658EB84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10</w:t>
            </w:r>
          </w:p>
        </w:tc>
      </w:tr>
      <w:tr w14:paraId="17E229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76AB050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shd w:val="clear" w:color="auto" w:fill="auto"/>
            <w:vAlign w:val="center"/>
          </w:tcPr>
          <w:p w14:paraId="18A69889">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十分可能（50%）</w:t>
            </w:r>
          </w:p>
        </w:tc>
        <w:tc>
          <w:tcPr>
            <w:shd w:val="clear" w:color="auto" w:fill="auto"/>
            <w:vAlign w:val="center"/>
          </w:tcPr>
          <w:p w14:paraId="1A759B40">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持续：平均每1年发生一次</w:t>
            </w:r>
          </w:p>
        </w:tc>
        <w:tc>
          <w:tcPr>
            <w:shd w:val="clear" w:color="auto" w:fill="auto"/>
            <w:vAlign w:val="center"/>
          </w:tcPr>
          <w:p w14:paraId="5513BB5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r>
      <w:tr w14:paraId="6A7E5C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4D78F471">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shd w:val="clear" w:color="auto" w:fill="auto"/>
            <w:vAlign w:val="center"/>
          </w:tcPr>
          <w:p w14:paraId="304FFFA7">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可能（25%）</w:t>
            </w:r>
          </w:p>
        </w:tc>
        <w:tc>
          <w:tcPr>
            <w:shd w:val="clear" w:color="auto" w:fill="auto"/>
            <w:vAlign w:val="center"/>
          </w:tcPr>
          <w:p w14:paraId="04F5CAF5">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经常：平均每1～2年发生一次</w:t>
            </w:r>
          </w:p>
        </w:tc>
        <w:tc>
          <w:tcPr>
            <w:shd w:val="clear" w:color="auto" w:fill="auto"/>
            <w:vAlign w:val="center"/>
          </w:tcPr>
          <w:p w14:paraId="3E81526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r>
      <w:tr w14:paraId="34A4F1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21AFF74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shd w:val="clear" w:color="auto" w:fill="auto"/>
            <w:vAlign w:val="center"/>
          </w:tcPr>
          <w:p w14:paraId="6940DF08">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很少的可能性，据说曾经发生过</w:t>
            </w:r>
          </w:p>
        </w:tc>
        <w:tc>
          <w:tcPr>
            <w:shd w:val="clear" w:color="auto" w:fill="auto"/>
            <w:vAlign w:val="center"/>
          </w:tcPr>
          <w:p w14:paraId="30382B25">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偶然：3～9年发生一次</w:t>
            </w:r>
          </w:p>
        </w:tc>
        <w:tc>
          <w:tcPr>
            <w:shd w:val="clear" w:color="auto" w:fill="auto"/>
            <w:vAlign w:val="center"/>
          </w:tcPr>
          <w:p w14:paraId="3CDAC12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r>
      <w:tr w14:paraId="2FF5D6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401A44A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shd w:val="clear" w:color="auto" w:fill="auto"/>
            <w:vAlign w:val="center"/>
          </w:tcPr>
          <w:p w14:paraId="0F7A3978">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相当少但确有可能，多年没有发生过</w:t>
            </w:r>
          </w:p>
        </w:tc>
        <w:tc>
          <w:tcPr>
            <w:shd w:val="clear" w:color="auto" w:fill="auto"/>
            <w:vAlign w:val="center"/>
          </w:tcPr>
          <w:p w14:paraId="24ECBE9F">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很难：10～20年发生一次</w:t>
            </w:r>
          </w:p>
        </w:tc>
        <w:tc>
          <w:tcPr>
            <w:shd w:val="clear" w:color="auto" w:fill="auto"/>
            <w:vAlign w:val="center"/>
          </w:tcPr>
          <w:p w14:paraId="36EFE4F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0.5</w:t>
            </w:r>
          </w:p>
        </w:tc>
      </w:tr>
      <w:tr w14:paraId="3301DC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90" w:hRule="atLeast"/>
          <w:jc w:val="center"/>
        </w:trPr>
        <w:tc>
          <w:tcPr>
            <w:shd w:val="clear" w:color="auto" w:fill="auto"/>
            <w:vAlign w:val="center"/>
          </w:tcPr>
          <w:p w14:paraId="4F0C8F6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c>
          <w:tcPr>
            <w:shd w:val="clear" w:color="auto" w:fill="auto"/>
            <w:vAlign w:val="center"/>
          </w:tcPr>
          <w:p w14:paraId="26E11322">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百万分之一的可能性，尽管暴露了许多年，但从来没有发生过</w:t>
            </w:r>
          </w:p>
        </w:tc>
        <w:tc>
          <w:tcPr>
            <w:shd w:val="clear" w:color="auto" w:fill="auto"/>
            <w:vAlign w:val="center"/>
          </w:tcPr>
          <w:p w14:paraId="3D7815AF">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罕见：几乎从未发生过</w:t>
            </w:r>
          </w:p>
        </w:tc>
        <w:tc>
          <w:tcPr>
            <w:shd w:val="clear" w:color="auto" w:fill="auto"/>
            <w:vAlign w:val="center"/>
          </w:tcPr>
          <w:p w14:paraId="731B50A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0.1</w:t>
            </w:r>
          </w:p>
        </w:tc>
      </w:tr>
    </w:tbl>
    <w:p w14:paraId="072A5C2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p>
    <w:p w14:paraId="0B61393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表2</w:t>
      </w:r>
      <w:r>
        <w:rPr>
          <w:rFonts w:hint="eastAsia" w:ascii="仿宋" w:hAnsi="仿宋" w:eastAsia="仿宋" w:cs="仿宋"/>
          <w:b/>
          <w:bCs/>
          <w:sz w:val="32"/>
          <w:szCs w:val="32"/>
          <w:lang w:val="en-US" w:eastAsia="zh-CN" w:bidi="zh-CN"/>
        </w:rPr>
        <w:t xml:space="preserve"> </w:t>
      </w:r>
      <w:r>
        <w:rPr>
          <w:rFonts w:hint="eastAsia" w:ascii="仿宋" w:hAnsi="仿宋" w:eastAsia="仿宋" w:cs="仿宋"/>
          <w:b/>
          <w:bCs/>
          <w:sz w:val="32"/>
          <w:szCs w:val="32"/>
          <w:lang w:val="zh-CN" w:eastAsia="zh-CN" w:bidi="zh-CN"/>
        </w:rPr>
        <w:t>暴露率（E）基准值</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683"/>
        <w:gridCol w:w="3875"/>
        <w:gridCol w:w="3194"/>
        <w:gridCol w:w="770"/>
      </w:tblGrid>
      <w:tr w14:paraId="5E3BF6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72476313">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序号</w:t>
            </w:r>
          </w:p>
        </w:tc>
        <w:tc>
          <w:tcPr>
            <w:gridSpan w:val="2"/>
            <w:shd w:val="clear" w:color="auto" w:fill="auto"/>
            <w:vAlign w:val="center"/>
          </w:tcPr>
          <w:p w14:paraId="00E9E0B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人员暴露于危险环境中的频繁程度</w:t>
            </w:r>
          </w:p>
        </w:tc>
        <w:tc>
          <w:tcPr>
            <w:vMerge w:val="restart"/>
            <w:shd w:val="clear" w:color="auto" w:fill="auto"/>
            <w:vAlign w:val="center"/>
          </w:tcPr>
          <w:p w14:paraId="1877C33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分值</w:t>
            </w:r>
          </w:p>
        </w:tc>
      </w:tr>
      <w:tr w14:paraId="1A8E02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B4BA371">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00DE3463">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人员伤亡、火灾、设备损坏、生产中断、环境污染</w:t>
            </w:r>
          </w:p>
        </w:tc>
        <w:tc>
          <w:tcPr>
            <w:shd w:val="clear" w:color="auto" w:fill="auto"/>
            <w:vAlign w:val="center"/>
          </w:tcPr>
          <w:p w14:paraId="52F6868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职业健康损害</w:t>
            </w:r>
          </w:p>
        </w:tc>
        <w:tc>
          <w:tcPr>
            <w:vMerge w:val="continue"/>
            <w:shd w:val="clear" w:color="auto" w:fill="auto"/>
            <w:vAlign w:val="center"/>
          </w:tcPr>
          <w:p w14:paraId="0671C72D">
            <w:pPr>
              <w:widowControl w:val="0"/>
              <w:kinsoku/>
              <w:adjustRightInd/>
              <w:snapToGrid/>
              <w:textAlignment w:val="auto"/>
              <w:rPr>
                <w:rFonts w:hint="eastAsia" w:ascii="仿宋" w:hAnsi="仿宋" w:eastAsia="仿宋" w:cs="仿宋"/>
                <w:snapToGrid/>
                <w:sz w:val="32"/>
                <w:szCs w:val="32"/>
                <w:lang w:val="zh-CN" w:eastAsia="zh-CN" w:bidi="zh-CN"/>
              </w:rPr>
            </w:pPr>
          </w:p>
        </w:tc>
      </w:tr>
      <w:tr w14:paraId="66E1CF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0ED2AB91">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shd w:val="clear" w:color="auto" w:fill="auto"/>
            <w:vAlign w:val="center"/>
          </w:tcPr>
          <w:p w14:paraId="037CE4EB">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持续（每天许多次）</w:t>
            </w:r>
          </w:p>
        </w:tc>
        <w:tc>
          <w:tcPr>
            <w:shd w:val="clear" w:color="auto" w:fill="auto"/>
            <w:vAlign w:val="center"/>
          </w:tcPr>
          <w:p w14:paraId="50371575">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暴露期大于2倍的法定极限值</w:t>
            </w:r>
          </w:p>
        </w:tc>
        <w:tc>
          <w:tcPr>
            <w:shd w:val="clear" w:color="auto" w:fill="auto"/>
            <w:vAlign w:val="center"/>
          </w:tcPr>
          <w:p w14:paraId="1D19A2E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10</w:t>
            </w:r>
          </w:p>
        </w:tc>
      </w:tr>
      <w:tr w14:paraId="1564AB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789B5C53">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shd w:val="clear" w:color="auto" w:fill="auto"/>
            <w:vAlign w:val="center"/>
          </w:tcPr>
          <w:p w14:paraId="49B66972">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经常（大概每天一次）</w:t>
            </w:r>
          </w:p>
        </w:tc>
        <w:tc>
          <w:tcPr>
            <w:shd w:val="clear" w:color="auto" w:fill="auto"/>
            <w:vAlign w:val="center"/>
          </w:tcPr>
          <w:p w14:paraId="02919AA3">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暴露期介于1～2倍法定极限值之间</w:t>
            </w:r>
          </w:p>
        </w:tc>
        <w:tc>
          <w:tcPr>
            <w:shd w:val="clear" w:color="auto" w:fill="auto"/>
            <w:vAlign w:val="center"/>
          </w:tcPr>
          <w:p w14:paraId="202C038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r>
      <w:tr w14:paraId="2678C5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059C1CF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shd w:val="clear" w:color="auto" w:fill="auto"/>
            <w:vAlign w:val="center"/>
          </w:tcPr>
          <w:p w14:paraId="39141859">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有时（从每周一次到每月一次）</w:t>
            </w:r>
          </w:p>
        </w:tc>
        <w:tc>
          <w:tcPr>
            <w:shd w:val="clear" w:color="auto" w:fill="auto"/>
            <w:vAlign w:val="center"/>
          </w:tcPr>
          <w:p w14:paraId="179D3101">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暴露期在法定极限值内</w:t>
            </w:r>
          </w:p>
        </w:tc>
        <w:tc>
          <w:tcPr>
            <w:shd w:val="clear" w:color="auto" w:fill="auto"/>
            <w:vAlign w:val="center"/>
          </w:tcPr>
          <w:p w14:paraId="25CE557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r>
      <w:tr w14:paraId="053952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04ECF57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shd w:val="clear" w:color="auto" w:fill="auto"/>
            <w:vAlign w:val="center"/>
          </w:tcPr>
          <w:p w14:paraId="19EE42DD">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偶尔（从每月一次到每年一次）</w:t>
            </w:r>
          </w:p>
        </w:tc>
        <w:tc>
          <w:tcPr>
            <w:shd w:val="clear" w:color="auto" w:fill="auto"/>
            <w:vAlign w:val="center"/>
          </w:tcPr>
          <w:p w14:paraId="75B1C217">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暴露期在正常允许水平和法定极限值之间</w:t>
            </w:r>
          </w:p>
        </w:tc>
        <w:tc>
          <w:tcPr>
            <w:shd w:val="clear" w:color="auto" w:fill="auto"/>
            <w:vAlign w:val="center"/>
          </w:tcPr>
          <w:p w14:paraId="1FEA489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r>
      <w:tr w14:paraId="60DF3E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384D55F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shd w:val="clear" w:color="auto" w:fill="auto"/>
            <w:vAlign w:val="center"/>
          </w:tcPr>
          <w:p w14:paraId="3C9442BC">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很少（据说曾经发生过）</w:t>
            </w:r>
          </w:p>
        </w:tc>
        <w:tc>
          <w:tcPr>
            <w:shd w:val="clear" w:color="auto" w:fill="auto"/>
            <w:vAlign w:val="center"/>
          </w:tcPr>
          <w:p w14:paraId="63EEDCBA">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暴露期在正常允许水平内</w:t>
            </w:r>
          </w:p>
        </w:tc>
        <w:tc>
          <w:tcPr>
            <w:shd w:val="clear" w:color="auto" w:fill="auto"/>
            <w:vAlign w:val="center"/>
          </w:tcPr>
          <w:p w14:paraId="778D719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r>
      <w:tr w14:paraId="4ABDA0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172FFDD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c>
          <w:tcPr>
            <w:shd w:val="clear" w:color="auto" w:fill="auto"/>
            <w:vAlign w:val="center"/>
          </w:tcPr>
          <w:p w14:paraId="1D2C4053">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特别少（没发生过，但有发生的可能性）</w:t>
            </w:r>
          </w:p>
        </w:tc>
        <w:tc>
          <w:tcPr>
            <w:shd w:val="clear" w:color="auto" w:fill="auto"/>
            <w:vAlign w:val="center"/>
          </w:tcPr>
          <w:p w14:paraId="0B8669F1">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暴露期低于正常允许水平</w:t>
            </w:r>
          </w:p>
        </w:tc>
        <w:tc>
          <w:tcPr>
            <w:shd w:val="clear" w:color="auto" w:fill="auto"/>
            <w:vAlign w:val="center"/>
          </w:tcPr>
          <w:p w14:paraId="59CF493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0.5</w:t>
            </w:r>
          </w:p>
        </w:tc>
      </w:tr>
    </w:tbl>
    <w:p w14:paraId="27DFCCE5">
      <w:pPr>
        <w:widowControl w:val="0"/>
        <w:autoSpaceDE w:val="0"/>
        <w:autoSpaceDN w:val="0"/>
        <w:ind w:left="108" w:firstLine="535"/>
        <w:rPr>
          <w:rFonts w:hint="eastAsia" w:ascii="仿宋" w:hAnsi="仿宋" w:eastAsia="仿宋" w:cs="仿宋"/>
          <w:b/>
          <w:bCs/>
          <w:sz w:val="32"/>
          <w:szCs w:val="32"/>
          <w:lang w:val="zh-CN" w:eastAsia="zh-CN" w:bidi="zh-CN"/>
        </w:rPr>
      </w:pPr>
    </w:p>
    <w:p w14:paraId="0024F90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表3</w:t>
      </w:r>
      <w:r>
        <w:rPr>
          <w:rFonts w:hint="eastAsia" w:ascii="仿宋" w:hAnsi="仿宋" w:eastAsia="仿宋" w:cs="仿宋"/>
          <w:b/>
          <w:bCs/>
          <w:sz w:val="32"/>
          <w:szCs w:val="32"/>
          <w:lang w:val="en-US" w:eastAsia="zh-CN" w:bidi="zh-CN"/>
        </w:rPr>
        <w:t xml:space="preserve"> </w:t>
      </w:r>
      <w:r>
        <w:rPr>
          <w:rFonts w:hint="eastAsia" w:ascii="仿宋" w:hAnsi="仿宋" w:eastAsia="仿宋" w:cs="仿宋"/>
          <w:b/>
          <w:bCs/>
          <w:sz w:val="32"/>
          <w:szCs w:val="32"/>
          <w:lang w:val="zh-CN" w:eastAsia="zh-CN" w:bidi="zh-CN"/>
        </w:rPr>
        <w:t>后果（C）基准值</w:t>
      </w:r>
    </w:p>
    <w:tbl>
      <w:tblPr>
        <w:tblStyle w:val="15"/>
        <w:tblW w:w="500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8" w:type="dxa"/>
          <w:left w:w="108" w:type="dxa"/>
          <w:bottom w:w="28" w:type="dxa"/>
          <w:right w:w="108" w:type="dxa"/>
        </w:tblCellMar>
      </w:tblPr>
      <w:tblGrid>
        <w:gridCol w:w="2131"/>
        <w:gridCol w:w="2131"/>
        <w:gridCol w:w="2147"/>
        <w:gridCol w:w="2115"/>
      </w:tblGrid>
      <w:tr w14:paraId="3C7C52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360C178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序号</w:t>
            </w:r>
          </w:p>
        </w:tc>
        <w:tc>
          <w:tcPr>
            <w:tcW w:w="2509" w:type="pct"/>
            <w:gridSpan w:val="2"/>
            <w:shd w:val="clear" w:color="auto" w:fill="auto"/>
            <w:vAlign w:val="center"/>
          </w:tcPr>
          <w:p w14:paraId="6DE8585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事故可能造成后果的严重程度</w:t>
            </w:r>
          </w:p>
        </w:tc>
        <w:tc>
          <w:tcPr>
            <w:tcW w:w="1240" w:type="pct"/>
            <w:shd w:val="clear" w:color="auto" w:fill="auto"/>
            <w:vAlign w:val="center"/>
          </w:tcPr>
          <w:p w14:paraId="5716573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分值</w:t>
            </w:r>
          </w:p>
        </w:tc>
      </w:tr>
      <w:tr w14:paraId="2E1FAB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63F9A081">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shd w:val="clear" w:color="auto" w:fill="auto"/>
            <w:vAlign w:val="center"/>
          </w:tcPr>
          <w:p w14:paraId="64B682E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tcW w:w="1259" w:type="pct"/>
            <w:shd w:val="clear" w:color="auto" w:fill="auto"/>
            <w:vAlign w:val="center"/>
          </w:tcPr>
          <w:p w14:paraId="0F994D13">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（1）造成死亡≥3人；或重伤≥10人。</w:t>
            </w:r>
          </w:p>
        </w:tc>
        <w:tc>
          <w:tcPr>
            <w:tcW w:w="1240" w:type="pct"/>
            <w:vMerge w:val="restart"/>
            <w:shd w:val="clear" w:color="auto" w:fill="auto"/>
            <w:vAlign w:val="center"/>
          </w:tcPr>
          <w:p w14:paraId="5F63E1C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100</w:t>
            </w:r>
          </w:p>
        </w:tc>
      </w:tr>
      <w:tr w14:paraId="13B14A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95DFE58">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4B8A34F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tcW w:w="1259" w:type="pct"/>
            <w:shd w:val="clear" w:color="auto" w:fill="auto"/>
            <w:vAlign w:val="center"/>
          </w:tcPr>
          <w:p w14:paraId="43EB5DDF">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（1）造成设备或财产损失≥1000万元。</w:t>
            </w:r>
          </w:p>
        </w:tc>
        <w:tc>
          <w:tcPr>
            <w:tcW w:w="1240" w:type="pct"/>
            <w:vMerge w:val="continue"/>
            <w:shd w:val="clear" w:color="auto" w:fill="auto"/>
            <w:vAlign w:val="center"/>
          </w:tcPr>
          <w:p w14:paraId="5DA2E3E5">
            <w:pPr>
              <w:widowControl w:val="0"/>
              <w:kinsoku/>
              <w:adjustRightInd/>
              <w:snapToGrid/>
              <w:textAlignment w:val="auto"/>
              <w:rPr>
                <w:rFonts w:hint="eastAsia" w:ascii="仿宋" w:hAnsi="仿宋" w:eastAsia="仿宋" w:cs="仿宋"/>
                <w:snapToGrid/>
                <w:sz w:val="32"/>
                <w:szCs w:val="32"/>
                <w:lang w:val="zh-CN" w:eastAsia="zh-CN" w:bidi="zh-CN"/>
              </w:rPr>
            </w:pPr>
          </w:p>
        </w:tc>
      </w:tr>
      <w:tr w14:paraId="19F356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4E3C355">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30A0071E">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tcW w:w="1259" w:type="pct"/>
            <w:shd w:val="clear" w:color="auto" w:fill="auto"/>
            <w:vAlign w:val="center"/>
          </w:tcPr>
          <w:p w14:paraId="50E704D1">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（1）造成较大以上电力安全事故。</w:t>
            </w:r>
          </w:p>
        </w:tc>
        <w:tc>
          <w:tcPr>
            <w:tcW w:w="1240" w:type="pct"/>
            <w:vMerge w:val="continue"/>
            <w:shd w:val="clear" w:color="auto" w:fill="auto"/>
            <w:vAlign w:val="center"/>
          </w:tcPr>
          <w:p w14:paraId="7356AF83">
            <w:pPr>
              <w:widowControl w:val="0"/>
              <w:kinsoku/>
              <w:adjustRightInd/>
              <w:snapToGrid/>
              <w:textAlignment w:val="auto"/>
              <w:rPr>
                <w:rFonts w:hint="eastAsia" w:ascii="仿宋" w:hAnsi="仿宋" w:eastAsia="仿宋" w:cs="仿宋"/>
                <w:snapToGrid/>
                <w:sz w:val="32"/>
                <w:szCs w:val="32"/>
                <w:lang w:val="zh-CN" w:eastAsia="zh-CN" w:bidi="zh-CN"/>
              </w:rPr>
            </w:pPr>
          </w:p>
        </w:tc>
      </w:tr>
      <w:tr w14:paraId="2B9B4F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2C61EA3">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221006C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tcW w:w="1259" w:type="pct"/>
            <w:shd w:val="clear" w:color="auto" w:fill="auto"/>
            <w:vAlign w:val="center"/>
          </w:tcPr>
          <w:p w14:paraId="4AB604AA">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（1）造成大范围环境破坏；</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（2）造成人员死亡、环境恢复困难；</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（3）严重违反国家环境保护法律法规。</w:t>
            </w:r>
          </w:p>
        </w:tc>
        <w:tc>
          <w:tcPr>
            <w:tcW w:w="1240" w:type="pct"/>
            <w:vMerge w:val="continue"/>
            <w:shd w:val="clear" w:color="auto" w:fill="auto"/>
            <w:vAlign w:val="center"/>
          </w:tcPr>
          <w:p w14:paraId="6526E17D">
            <w:pPr>
              <w:widowControl w:val="0"/>
              <w:kinsoku/>
              <w:adjustRightInd/>
              <w:snapToGrid/>
              <w:textAlignment w:val="auto"/>
              <w:rPr>
                <w:rFonts w:hint="eastAsia" w:ascii="仿宋" w:hAnsi="仿宋" w:eastAsia="仿宋" w:cs="仿宋"/>
                <w:snapToGrid/>
                <w:sz w:val="32"/>
                <w:szCs w:val="32"/>
                <w:lang w:val="zh-CN" w:eastAsia="zh-CN" w:bidi="zh-CN"/>
              </w:rPr>
            </w:pPr>
          </w:p>
        </w:tc>
      </w:tr>
      <w:tr w14:paraId="51C715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949" w:hRule="atLeast"/>
          <w:jc w:val="center"/>
        </w:trPr>
        <w:tc>
          <w:tcPr>
            <w:vMerge w:val="continue"/>
            <w:shd w:val="clear" w:color="auto" w:fill="auto"/>
            <w:vAlign w:val="center"/>
          </w:tcPr>
          <w:p w14:paraId="3640223D">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4516F13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tcW w:w="1259" w:type="pct"/>
            <w:shd w:val="clear" w:color="auto" w:fill="auto"/>
            <w:vAlign w:val="center"/>
          </w:tcPr>
          <w:p w14:paraId="4315300E">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（1）造成3～9例无法复原的严重职业病；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（2）造成9例以上很难治愈的职业病。</w:t>
            </w:r>
          </w:p>
        </w:tc>
        <w:tc>
          <w:tcPr>
            <w:tcW w:w="1240" w:type="pct"/>
            <w:vMerge w:val="continue"/>
            <w:shd w:val="clear" w:color="auto" w:fill="auto"/>
            <w:vAlign w:val="center"/>
          </w:tcPr>
          <w:p w14:paraId="59160FBD">
            <w:pPr>
              <w:widowControl w:val="0"/>
              <w:kinsoku/>
              <w:adjustRightInd/>
              <w:snapToGrid/>
              <w:textAlignment w:val="auto"/>
              <w:rPr>
                <w:rFonts w:hint="eastAsia" w:ascii="仿宋" w:hAnsi="仿宋" w:eastAsia="仿宋" w:cs="仿宋"/>
                <w:snapToGrid/>
                <w:sz w:val="32"/>
                <w:szCs w:val="32"/>
                <w:lang w:val="zh-CN" w:eastAsia="zh-CN" w:bidi="zh-CN"/>
              </w:rPr>
            </w:pPr>
          </w:p>
        </w:tc>
      </w:tr>
      <w:tr w14:paraId="7242AA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523A41D9">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shd w:val="clear" w:color="auto" w:fill="auto"/>
            <w:vAlign w:val="center"/>
          </w:tcPr>
          <w:p w14:paraId="326D200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tcW w:w="1259" w:type="pct"/>
            <w:shd w:val="clear" w:color="auto" w:fill="auto"/>
            <w:vAlign w:val="center"/>
          </w:tcPr>
          <w:p w14:paraId="21FCE686">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（1）造成1～2人死亡；或重伤3～9人。</w:t>
            </w:r>
          </w:p>
        </w:tc>
        <w:tc>
          <w:tcPr>
            <w:tcW w:w="1240" w:type="pct"/>
            <w:vMerge w:val="restart"/>
            <w:shd w:val="clear" w:color="auto" w:fill="auto"/>
            <w:vAlign w:val="center"/>
          </w:tcPr>
          <w:p w14:paraId="3B44F14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50</w:t>
            </w:r>
          </w:p>
        </w:tc>
      </w:tr>
      <w:tr w14:paraId="082F33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7E07B7A">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1B6BDA7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tcW w:w="1259" w:type="pct"/>
            <w:shd w:val="clear" w:color="auto" w:fill="auto"/>
            <w:vAlign w:val="center"/>
          </w:tcPr>
          <w:p w14:paraId="609B0822">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（1）造成设备或财产损失在100万元到1000万元之间。</w:t>
            </w:r>
          </w:p>
        </w:tc>
        <w:tc>
          <w:tcPr>
            <w:tcW w:w="1240" w:type="pct"/>
            <w:vMerge w:val="continue"/>
            <w:shd w:val="clear" w:color="auto" w:fill="auto"/>
            <w:vAlign w:val="center"/>
          </w:tcPr>
          <w:p w14:paraId="530FD19D">
            <w:pPr>
              <w:widowControl w:val="0"/>
              <w:kinsoku/>
              <w:adjustRightInd/>
              <w:snapToGrid/>
              <w:textAlignment w:val="auto"/>
              <w:rPr>
                <w:rFonts w:hint="eastAsia" w:ascii="仿宋" w:hAnsi="仿宋" w:eastAsia="仿宋" w:cs="仿宋"/>
                <w:snapToGrid/>
                <w:sz w:val="32"/>
                <w:szCs w:val="32"/>
                <w:lang w:val="zh-CN" w:eastAsia="zh-CN" w:bidi="zh-CN"/>
              </w:rPr>
            </w:pPr>
          </w:p>
        </w:tc>
      </w:tr>
      <w:tr w14:paraId="7BA232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7DCA15C">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4BA2026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tcW w:w="1259" w:type="pct"/>
            <w:shd w:val="clear" w:color="auto" w:fill="auto"/>
            <w:vAlign w:val="center"/>
          </w:tcPr>
          <w:p w14:paraId="7901143E">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（1）造成一般电力安全事故且中断安全记录。</w:t>
            </w:r>
          </w:p>
        </w:tc>
        <w:tc>
          <w:tcPr>
            <w:tcW w:w="1240" w:type="pct"/>
            <w:vMerge w:val="continue"/>
            <w:shd w:val="clear" w:color="auto" w:fill="auto"/>
            <w:vAlign w:val="center"/>
          </w:tcPr>
          <w:p w14:paraId="1674E46E">
            <w:pPr>
              <w:widowControl w:val="0"/>
              <w:kinsoku/>
              <w:adjustRightInd/>
              <w:snapToGrid/>
              <w:textAlignment w:val="auto"/>
              <w:rPr>
                <w:rFonts w:hint="eastAsia" w:ascii="仿宋" w:hAnsi="仿宋" w:eastAsia="仿宋" w:cs="仿宋"/>
                <w:snapToGrid/>
                <w:sz w:val="32"/>
                <w:szCs w:val="32"/>
                <w:lang w:val="zh-CN" w:eastAsia="zh-CN" w:bidi="zh-CN"/>
              </w:rPr>
            </w:pPr>
          </w:p>
        </w:tc>
      </w:tr>
      <w:tr w14:paraId="1A7257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8909591">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4CD1E7D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tcW w:w="1259" w:type="pct"/>
            <w:shd w:val="clear" w:color="auto" w:fill="auto"/>
            <w:vAlign w:val="center"/>
          </w:tcPr>
          <w:p w14:paraId="0C30FF66">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（1）造成较大范围的环境破坏；</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（2）影响后果可导致急性疾病或重大伤残，居民需要撤离；</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（3）政府要求整顿。</w:t>
            </w:r>
          </w:p>
        </w:tc>
        <w:tc>
          <w:tcPr>
            <w:tcW w:w="1240" w:type="pct"/>
            <w:vMerge w:val="continue"/>
            <w:shd w:val="clear" w:color="auto" w:fill="auto"/>
            <w:vAlign w:val="center"/>
          </w:tcPr>
          <w:p w14:paraId="43A01369">
            <w:pPr>
              <w:widowControl w:val="0"/>
              <w:kinsoku/>
              <w:adjustRightInd/>
              <w:snapToGrid/>
              <w:textAlignment w:val="auto"/>
              <w:rPr>
                <w:rFonts w:hint="eastAsia" w:ascii="仿宋" w:hAnsi="仿宋" w:eastAsia="仿宋" w:cs="仿宋"/>
                <w:snapToGrid/>
                <w:sz w:val="32"/>
                <w:szCs w:val="32"/>
                <w:lang w:val="zh-CN" w:eastAsia="zh-CN" w:bidi="zh-CN"/>
              </w:rPr>
            </w:pPr>
          </w:p>
        </w:tc>
      </w:tr>
      <w:tr w14:paraId="6A393B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7212019">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73037191">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tcW w:w="1259" w:type="pct"/>
            <w:shd w:val="clear" w:color="auto" w:fill="auto"/>
            <w:vAlign w:val="center"/>
          </w:tcPr>
          <w:p w14:paraId="5B089581">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（1）造成1～2例无法复原的严重职业病；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（2）造成3～9例以上很难治愈的职业病。</w:t>
            </w:r>
          </w:p>
        </w:tc>
        <w:tc>
          <w:tcPr>
            <w:tcW w:w="1240" w:type="pct"/>
            <w:vMerge w:val="continue"/>
            <w:shd w:val="clear" w:color="auto" w:fill="auto"/>
            <w:vAlign w:val="center"/>
          </w:tcPr>
          <w:p w14:paraId="3A666CD2">
            <w:pPr>
              <w:widowControl w:val="0"/>
              <w:kinsoku/>
              <w:adjustRightInd/>
              <w:snapToGrid/>
              <w:textAlignment w:val="auto"/>
              <w:rPr>
                <w:rFonts w:hint="eastAsia" w:ascii="仿宋" w:hAnsi="仿宋" w:eastAsia="仿宋" w:cs="仿宋"/>
                <w:snapToGrid/>
                <w:sz w:val="32"/>
                <w:szCs w:val="32"/>
                <w:lang w:val="zh-CN" w:eastAsia="zh-CN" w:bidi="zh-CN"/>
              </w:rPr>
            </w:pPr>
          </w:p>
        </w:tc>
      </w:tr>
      <w:tr w14:paraId="52BBA3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7A1DA29F">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shd w:val="clear" w:color="auto" w:fill="auto"/>
            <w:vAlign w:val="center"/>
          </w:tcPr>
          <w:p w14:paraId="00EC040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tcW w:w="1259" w:type="pct"/>
            <w:shd w:val="clear" w:color="auto" w:fill="auto"/>
            <w:vAlign w:val="center"/>
          </w:tcPr>
          <w:p w14:paraId="16F437E3">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（1）造成重伤1～2人。</w:t>
            </w:r>
          </w:p>
        </w:tc>
        <w:tc>
          <w:tcPr>
            <w:tcW w:w="1240" w:type="pct"/>
            <w:vMerge w:val="restart"/>
            <w:shd w:val="clear" w:color="auto" w:fill="auto"/>
            <w:vAlign w:val="center"/>
          </w:tcPr>
          <w:p w14:paraId="78301651">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25</w:t>
            </w:r>
          </w:p>
        </w:tc>
      </w:tr>
      <w:tr w14:paraId="77888F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BC1D110">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6776B5E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tcW w:w="1259" w:type="pct"/>
            <w:shd w:val="clear" w:color="auto" w:fill="auto"/>
            <w:vAlign w:val="center"/>
          </w:tcPr>
          <w:p w14:paraId="06C7AE84">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（1）造成设备或财产损失在50万元到100万元之间。</w:t>
            </w:r>
          </w:p>
        </w:tc>
        <w:tc>
          <w:tcPr>
            <w:tcW w:w="1240" w:type="pct"/>
            <w:vMerge w:val="continue"/>
            <w:shd w:val="clear" w:color="auto" w:fill="auto"/>
            <w:vAlign w:val="center"/>
          </w:tcPr>
          <w:p w14:paraId="63FE3CC1">
            <w:pPr>
              <w:widowControl w:val="0"/>
              <w:kinsoku/>
              <w:adjustRightInd/>
              <w:snapToGrid/>
              <w:textAlignment w:val="auto"/>
              <w:rPr>
                <w:rFonts w:hint="eastAsia" w:ascii="仿宋" w:hAnsi="仿宋" w:eastAsia="仿宋" w:cs="仿宋"/>
                <w:snapToGrid/>
                <w:sz w:val="32"/>
                <w:szCs w:val="32"/>
                <w:lang w:val="zh-CN" w:eastAsia="zh-CN" w:bidi="zh-CN"/>
              </w:rPr>
            </w:pPr>
          </w:p>
        </w:tc>
      </w:tr>
      <w:tr w14:paraId="198497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B8E8CBC">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37BF55E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tcW w:w="1259" w:type="pct"/>
            <w:shd w:val="clear" w:color="auto" w:fill="auto"/>
            <w:vAlign w:val="center"/>
          </w:tcPr>
          <w:p w14:paraId="350F8404">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（1）造成内部统计事故。</w:t>
            </w:r>
          </w:p>
        </w:tc>
        <w:tc>
          <w:tcPr>
            <w:tcW w:w="1240" w:type="pct"/>
            <w:vMerge w:val="continue"/>
            <w:shd w:val="clear" w:color="auto" w:fill="auto"/>
            <w:vAlign w:val="center"/>
          </w:tcPr>
          <w:p w14:paraId="630AFFCF">
            <w:pPr>
              <w:widowControl w:val="0"/>
              <w:kinsoku/>
              <w:adjustRightInd/>
              <w:snapToGrid/>
              <w:textAlignment w:val="auto"/>
              <w:rPr>
                <w:rFonts w:hint="eastAsia" w:ascii="仿宋" w:hAnsi="仿宋" w:eastAsia="仿宋" w:cs="仿宋"/>
                <w:snapToGrid/>
                <w:sz w:val="32"/>
                <w:szCs w:val="32"/>
                <w:lang w:val="zh-CN" w:eastAsia="zh-CN" w:bidi="zh-CN"/>
              </w:rPr>
            </w:pPr>
          </w:p>
        </w:tc>
      </w:tr>
      <w:tr w14:paraId="79A715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F064C33">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1BB8E3B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tcW w:w="1259" w:type="pct"/>
            <w:shd w:val="clear" w:color="auto" w:fill="auto"/>
            <w:vAlign w:val="center"/>
          </w:tcPr>
          <w:p w14:paraId="70834979">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（1）影响到周边居民及生态环境，引起居民抗争。</w:t>
            </w:r>
          </w:p>
        </w:tc>
        <w:tc>
          <w:tcPr>
            <w:tcW w:w="1240" w:type="pct"/>
            <w:vMerge w:val="continue"/>
            <w:shd w:val="clear" w:color="auto" w:fill="auto"/>
            <w:vAlign w:val="center"/>
          </w:tcPr>
          <w:p w14:paraId="3781CB38">
            <w:pPr>
              <w:widowControl w:val="0"/>
              <w:kinsoku/>
              <w:adjustRightInd/>
              <w:snapToGrid/>
              <w:textAlignment w:val="auto"/>
              <w:rPr>
                <w:rFonts w:hint="eastAsia" w:ascii="仿宋" w:hAnsi="仿宋" w:eastAsia="仿宋" w:cs="仿宋"/>
                <w:snapToGrid/>
                <w:sz w:val="32"/>
                <w:szCs w:val="32"/>
                <w:lang w:val="zh-CN" w:eastAsia="zh-CN" w:bidi="zh-CN"/>
              </w:rPr>
            </w:pPr>
          </w:p>
        </w:tc>
      </w:tr>
      <w:tr w14:paraId="624BA6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E968571">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753FC93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tcW w:w="1259" w:type="pct"/>
            <w:shd w:val="clear" w:color="auto" w:fill="auto"/>
            <w:vAlign w:val="center"/>
          </w:tcPr>
          <w:p w14:paraId="1B1FC808">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（1）造成1～2例难治愈或造成3～9例可治愈的职业病；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（2）造成9例以上与职业有关的疾病。</w:t>
            </w:r>
          </w:p>
        </w:tc>
        <w:tc>
          <w:tcPr>
            <w:tcW w:w="1240" w:type="pct"/>
            <w:vMerge w:val="continue"/>
            <w:shd w:val="clear" w:color="auto" w:fill="auto"/>
            <w:vAlign w:val="center"/>
          </w:tcPr>
          <w:p w14:paraId="23E7B9B0">
            <w:pPr>
              <w:widowControl w:val="0"/>
              <w:kinsoku/>
              <w:adjustRightInd/>
              <w:snapToGrid/>
              <w:textAlignment w:val="auto"/>
              <w:rPr>
                <w:rFonts w:hint="eastAsia" w:ascii="仿宋" w:hAnsi="仿宋" w:eastAsia="仿宋" w:cs="仿宋"/>
                <w:snapToGrid/>
                <w:sz w:val="32"/>
                <w:szCs w:val="32"/>
                <w:lang w:val="zh-CN" w:eastAsia="zh-CN" w:bidi="zh-CN"/>
              </w:rPr>
            </w:pPr>
          </w:p>
        </w:tc>
      </w:tr>
      <w:tr w14:paraId="465B66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3486F672">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shd w:val="clear" w:color="auto" w:fill="auto"/>
            <w:vAlign w:val="center"/>
          </w:tcPr>
          <w:p w14:paraId="62B888D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tcW w:w="1259" w:type="pct"/>
            <w:shd w:val="clear" w:color="auto" w:fill="auto"/>
            <w:vAlign w:val="center"/>
          </w:tcPr>
          <w:p w14:paraId="3DE110DD">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（1）造成轻伤3人以上。</w:t>
            </w:r>
          </w:p>
        </w:tc>
        <w:tc>
          <w:tcPr>
            <w:tcW w:w="1240" w:type="pct"/>
            <w:vMerge w:val="restart"/>
            <w:shd w:val="clear" w:color="auto" w:fill="auto"/>
            <w:vAlign w:val="center"/>
          </w:tcPr>
          <w:p w14:paraId="0A987CB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15</w:t>
            </w:r>
          </w:p>
        </w:tc>
      </w:tr>
      <w:tr w14:paraId="419A00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1151F3A">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0DF48CF3">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tcW w:w="1259" w:type="pct"/>
            <w:shd w:val="clear" w:color="auto" w:fill="auto"/>
            <w:vAlign w:val="center"/>
          </w:tcPr>
          <w:p w14:paraId="73B45C6D">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（1）造成设备或财产损失在10万元到50万元之间。</w:t>
            </w:r>
          </w:p>
        </w:tc>
        <w:tc>
          <w:tcPr>
            <w:tcW w:w="1240" w:type="pct"/>
            <w:vMerge w:val="continue"/>
            <w:shd w:val="clear" w:color="auto" w:fill="auto"/>
            <w:vAlign w:val="center"/>
          </w:tcPr>
          <w:p w14:paraId="5F54B547">
            <w:pPr>
              <w:widowControl w:val="0"/>
              <w:kinsoku/>
              <w:adjustRightInd/>
              <w:snapToGrid/>
              <w:textAlignment w:val="auto"/>
              <w:rPr>
                <w:rFonts w:hint="eastAsia" w:ascii="仿宋" w:hAnsi="仿宋" w:eastAsia="仿宋" w:cs="仿宋"/>
                <w:snapToGrid/>
                <w:sz w:val="32"/>
                <w:szCs w:val="32"/>
                <w:lang w:val="zh-CN" w:eastAsia="zh-CN" w:bidi="zh-CN"/>
              </w:rPr>
            </w:pPr>
          </w:p>
        </w:tc>
      </w:tr>
      <w:tr w14:paraId="672479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D3834B4">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426396E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tcW w:w="1259" w:type="pct"/>
            <w:shd w:val="clear" w:color="auto" w:fill="auto"/>
            <w:vAlign w:val="center"/>
          </w:tcPr>
          <w:p w14:paraId="5CF97B89">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（1）造成设备一类障碍。</w:t>
            </w:r>
          </w:p>
        </w:tc>
        <w:tc>
          <w:tcPr>
            <w:tcW w:w="1240" w:type="pct"/>
            <w:vMerge w:val="continue"/>
            <w:shd w:val="clear" w:color="auto" w:fill="auto"/>
            <w:vAlign w:val="center"/>
          </w:tcPr>
          <w:p w14:paraId="31D77358">
            <w:pPr>
              <w:widowControl w:val="0"/>
              <w:kinsoku/>
              <w:adjustRightInd/>
              <w:snapToGrid/>
              <w:textAlignment w:val="auto"/>
              <w:rPr>
                <w:rFonts w:hint="eastAsia" w:ascii="仿宋" w:hAnsi="仿宋" w:eastAsia="仿宋" w:cs="仿宋"/>
                <w:snapToGrid/>
                <w:sz w:val="32"/>
                <w:szCs w:val="32"/>
                <w:lang w:val="zh-CN" w:eastAsia="zh-CN" w:bidi="zh-CN"/>
              </w:rPr>
            </w:pPr>
          </w:p>
        </w:tc>
      </w:tr>
      <w:tr w14:paraId="1419FD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C62BCDE">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5D788DE7">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tcW w:w="1259" w:type="pct"/>
            <w:shd w:val="clear" w:color="auto" w:fill="auto"/>
            <w:vAlign w:val="center"/>
          </w:tcPr>
          <w:p w14:paraId="56D12D89">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（1）对周边居民及环境有些影响，引起居民抱怨、投诉。</w:t>
            </w:r>
          </w:p>
        </w:tc>
        <w:tc>
          <w:tcPr>
            <w:tcW w:w="1240" w:type="pct"/>
            <w:vMerge w:val="continue"/>
            <w:shd w:val="clear" w:color="auto" w:fill="auto"/>
            <w:vAlign w:val="center"/>
          </w:tcPr>
          <w:p w14:paraId="72771B1A">
            <w:pPr>
              <w:widowControl w:val="0"/>
              <w:kinsoku/>
              <w:adjustRightInd/>
              <w:snapToGrid/>
              <w:textAlignment w:val="auto"/>
              <w:rPr>
                <w:rFonts w:hint="eastAsia" w:ascii="仿宋" w:hAnsi="仿宋" w:eastAsia="仿宋" w:cs="仿宋"/>
                <w:snapToGrid/>
                <w:sz w:val="32"/>
                <w:szCs w:val="32"/>
                <w:lang w:val="zh-CN" w:eastAsia="zh-CN" w:bidi="zh-CN"/>
              </w:rPr>
            </w:pPr>
          </w:p>
        </w:tc>
      </w:tr>
      <w:tr w14:paraId="7BC495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4DA0303">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65E36BA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tcW w:w="1259" w:type="pct"/>
            <w:shd w:val="clear" w:color="auto" w:fill="auto"/>
            <w:vAlign w:val="center"/>
          </w:tcPr>
          <w:p w14:paraId="14EF98F3">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（1）造成1～2例可治愈的职业病；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（2）造成3～9例与职业有关的疾病。</w:t>
            </w:r>
          </w:p>
        </w:tc>
        <w:tc>
          <w:tcPr>
            <w:tcW w:w="1240" w:type="pct"/>
            <w:vMerge w:val="continue"/>
            <w:shd w:val="clear" w:color="auto" w:fill="auto"/>
            <w:vAlign w:val="center"/>
          </w:tcPr>
          <w:p w14:paraId="6668017A">
            <w:pPr>
              <w:widowControl w:val="0"/>
              <w:kinsoku/>
              <w:adjustRightInd/>
              <w:snapToGrid/>
              <w:textAlignment w:val="auto"/>
              <w:rPr>
                <w:rFonts w:hint="eastAsia" w:ascii="仿宋" w:hAnsi="仿宋" w:eastAsia="仿宋" w:cs="仿宋"/>
                <w:snapToGrid/>
                <w:sz w:val="32"/>
                <w:szCs w:val="32"/>
                <w:lang w:val="zh-CN" w:eastAsia="zh-CN" w:bidi="zh-CN"/>
              </w:rPr>
            </w:pPr>
          </w:p>
        </w:tc>
      </w:tr>
      <w:tr w14:paraId="2B47AB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1D926597">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shd w:val="clear" w:color="auto" w:fill="auto"/>
            <w:vAlign w:val="center"/>
          </w:tcPr>
          <w:p w14:paraId="2BD00061">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tcW w:w="1259" w:type="pct"/>
            <w:shd w:val="clear" w:color="auto" w:fill="auto"/>
            <w:vAlign w:val="center"/>
          </w:tcPr>
          <w:p w14:paraId="48EFBDD2">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（1）造成轻伤1～2人。</w:t>
            </w:r>
          </w:p>
        </w:tc>
        <w:tc>
          <w:tcPr>
            <w:tcW w:w="1240" w:type="pct"/>
            <w:vMerge w:val="restart"/>
            <w:shd w:val="clear" w:color="auto" w:fill="auto"/>
            <w:vAlign w:val="center"/>
          </w:tcPr>
          <w:p w14:paraId="4C3696B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r>
      <w:tr w14:paraId="0B86CF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B8CFE38">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33D8142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tcW w:w="1259" w:type="pct"/>
            <w:shd w:val="clear" w:color="auto" w:fill="auto"/>
            <w:vAlign w:val="center"/>
          </w:tcPr>
          <w:p w14:paraId="21197C93">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（1）造成设备或财产损失在2万元到10万元之间。</w:t>
            </w:r>
          </w:p>
        </w:tc>
        <w:tc>
          <w:tcPr>
            <w:tcW w:w="1240" w:type="pct"/>
            <w:vMerge w:val="continue"/>
            <w:shd w:val="clear" w:color="auto" w:fill="auto"/>
            <w:vAlign w:val="center"/>
          </w:tcPr>
          <w:p w14:paraId="4A35A412">
            <w:pPr>
              <w:widowControl w:val="0"/>
              <w:kinsoku/>
              <w:adjustRightInd/>
              <w:snapToGrid/>
              <w:textAlignment w:val="auto"/>
              <w:rPr>
                <w:rFonts w:hint="eastAsia" w:ascii="仿宋" w:hAnsi="仿宋" w:eastAsia="仿宋" w:cs="仿宋"/>
                <w:snapToGrid/>
                <w:sz w:val="32"/>
                <w:szCs w:val="32"/>
                <w:lang w:val="zh-CN" w:eastAsia="zh-CN" w:bidi="zh-CN"/>
              </w:rPr>
            </w:pPr>
          </w:p>
        </w:tc>
      </w:tr>
      <w:tr w14:paraId="3FE485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806E703">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796A4C0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tcW w:w="1259" w:type="pct"/>
            <w:shd w:val="clear" w:color="auto" w:fill="auto"/>
            <w:vAlign w:val="center"/>
          </w:tcPr>
          <w:p w14:paraId="04C1A561">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（1）造成设备二类障碍。</w:t>
            </w:r>
          </w:p>
        </w:tc>
        <w:tc>
          <w:tcPr>
            <w:tcW w:w="1240" w:type="pct"/>
            <w:vMerge w:val="continue"/>
            <w:shd w:val="clear" w:color="auto" w:fill="auto"/>
            <w:vAlign w:val="center"/>
          </w:tcPr>
          <w:p w14:paraId="42ADF5BA">
            <w:pPr>
              <w:widowControl w:val="0"/>
              <w:kinsoku/>
              <w:adjustRightInd/>
              <w:snapToGrid/>
              <w:textAlignment w:val="auto"/>
              <w:rPr>
                <w:rFonts w:hint="eastAsia" w:ascii="仿宋" w:hAnsi="仿宋" w:eastAsia="仿宋" w:cs="仿宋"/>
                <w:snapToGrid/>
                <w:sz w:val="32"/>
                <w:szCs w:val="32"/>
                <w:lang w:val="zh-CN" w:eastAsia="zh-CN" w:bidi="zh-CN"/>
              </w:rPr>
            </w:pPr>
          </w:p>
        </w:tc>
      </w:tr>
      <w:tr w14:paraId="42DEEE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5F86A8F">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38426E4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tcW w:w="1259" w:type="pct"/>
            <w:shd w:val="clear" w:color="auto" w:fill="auto"/>
            <w:vAlign w:val="center"/>
          </w:tcPr>
          <w:p w14:paraId="03110373">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（1）轻度影响到周边居民及小范围（现场）生态环境。</w:t>
            </w:r>
          </w:p>
        </w:tc>
        <w:tc>
          <w:tcPr>
            <w:tcW w:w="1240" w:type="pct"/>
            <w:vMerge w:val="continue"/>
            <w:shd w:val="clear" w:color="auto" w:fill="auto"/>
            <w:vAlign w:val="center"/>
          </w:tcPr>
          <w:p w14:paraId="7C4C8A09">
            <w:pPr>
              <w:widowControl w:val="0"/>
              <w:kinsoku/>
              <w:adjustRightInd/>
              <w:snapToGrid/>
              <w:textAlignment w:val="auto"/>
              <w:rPr>
                <w:rFonts w:hint="eastAsia" w:ascii="仿宋" w:hAnsi="仿宋" w:eastAsia="仿宋" w:cs="仿宋"/>
                <w:snapToGrid/>
                <w:sz w:val="32"/>
                <w:szCs w:val="32"/>
                <w:lang w:val="zh-CN" w:eastAsia="zh-CN" w:bidi="zh-CN"/>
              </w:rPr>
            </w:pPr>
          </w:p>
        </w:tc>
      </w:tr>
      <w:tr w14:paraId="136AE9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534" w:hRule="atLeast"/>
          <w:jc w:val="center"/>
        </w:trPr>
        <w:tc>
          <w:tcPr>
            <w:vMerge w:val="continue"/>
            <w:shd w:val="clear" w:color="auto" w:fill="auto"/>
            <w:vAlign w:val="center"/>
          </w:tcPr>
          <w:p w14:paraId="65C9B51B">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19105ED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tcW w:w="1259" w:type="pct"/>
            <w:shd w:val="clear" w:color="auto" w:fill="auto"/>
            <w:vAlign w:val="center"/>
          </w:tcPr>
          <w:p w14:paraId="582EAC0E">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（1）造成1～2例与职业有关的疾病；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（2）造成3～9例有影响健康的事件。</w:t>
            </w:r>
          </w:p>
        </w:tc>
        <w:tc>
          <w:tcPr>
            <w:tcW w:w="1240" w:type="pct"/>
            <w:vMerge w:val="continue"/>
            <w:shd w:val="clear" w:color="auto" w:fill="auto"/>
            <w:vAlign w:val="center"/>
          </w:tcPr>
          <w:p w14:paraId="2D1BEE01">
            <w:pPr>
              <w:widowControl w:val="0"/>
              <w:kinsoku/>
              <w:adjustRightInd/>
              <w:snapToGrid/>
              <w:textAlignment w:val="auto"/>
              <w:rPr>
                <w:rFonts w:hint="eastAsia" w:ascii="仿宋" w:hAnsi="仿宋" w:eastAsia="仿宋" w:cs="仿宋"/>
                <w:snapToGrid/>
                <w:sz w:val="32"/>
                <w:szCs w:val="32"/>
                <w:lang w:val="zh-CN" w:eastAsia="zh-CN" w:bidi="zh-CN"/>
              </w:rPr>
            </w:pPr>
          </w:p>
        </w:tc>
      </w:tr>
      <w:tr w14:paraId="5B4154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2E0B8C69">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c>
          <w:tcPr>
            <w:shd w:val="clear" w:color="auto" w:fill="auto"/>
            <w:vAlign w:val="center"/>
          </w:tcPr>
          <w:p w14:paraId="4E5C04A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tcW w:w="1259" w:type="pct"/>
            <w:shd w:val="clear" w:color="auto" w:fill="auto"/>
            <w:vAlign w:val="center"/>
          </w:tcPr>
          <w:p w14:paraId="15375421">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（1）可能造成人员轻微的伤害（小的割伤、擦伤、撞伤）。</w:t>
            </w:r>
          </w:p>
        </w:tc>
        <w:tc>
          <w:tcPr>
            <w:tcW w:w="1240" w:type="pct"/>
            <w:vMerge w:val="restart"/>
            <w:shd w:val="clear" w:color="auto" w:fill="auto"/>
            <w:vAlign w:val="center"/>
          </w:tcPr>
          <w:p w14:paraId="0E2AA5F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r>
      <w:tr w14:paraId="3E7ED4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2E4EC45">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2582395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tcW w:w="1259" w:type="pct"/>
            <w:shd w:val="clear" w:color="auto" w:fill="auto"/>
            <w:vAlign w:val="center"/>
          </w:tcPr>
          <w:p w14:paraId="575F2D95">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（1）可能造成设备或财产损失在2万元以下。</w:t>
            </w:r>
          </w:p>
        </w:tc>
        <w:tc>
          <w:tcPr>
            <w:tcW w:w="1240" w:type="pct"/>
            <w:vMerge w:val="continue"/>
            <w:shd w:val="clear" w:color="auto" w:fill="auto"/>
            <w:vAlign w:val="center"/>
          </w:tcPr>
          <w:p w14:paraId="68AAB4CE">
            <w:pPr>
              <w:widowControl w:val="0"/>
              <w:kinsoku/>
              <w:adjustRightInd/>
              <w:snapToGrid/>
              <w:textAlignment w:val="auto"/>
              <w:rPr>
                <w:rFonts w:hint="eastAsia" w:ascii="仿宋" w:hAnsi="仿宋" w:eastAsia="仿宋" w:cs="仿宋"/>
                <w:snapToGrid/>
                <w:sz w:val="32"/>
                <w:szCs w:val="32"/>
                <w:lang w:val="zh-CN" w:eastAsia="zh-CN" w:bidi="zh-CN"/>
              </w:rPr>
            </w:pPr>
          </w:p>
        </w:tc>
      </w:tr>
      <w:tr w14:paraId="573F56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C50EF94">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76572D9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tcW w:w="1259" w:type="pct"/>
            <w:shd w:val="clear" w:color="auto" w:fill="auto"/>
            <w:vAlign w:val="center"/>
          </w:tcPr>
          <w:p w14:paraId="16C1A2AF">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（1）造成设备异常。</w:t>
            </w:r>
          </w:p>
        </w:tc>
        <w:tc>
          <w:tcPr>
            <w:tcW w:w="1240" w:type="pct"/>
            <w:vMerge w:val="continue"/>
            <w:shd w:val="clear" w:color="auto" w:fill="auto"/>
            <w:vAlign w:val="center"/>
          </w:tcPr>
          <w:p w14:paraId="1CB15559">
            <w:pPr>
              <w:widowControl w:val="0"/>
              <w:kinsoku/>
              <w:adjustRightInd/>
              <w:snapToGrid/>
              <w:textAlignment w:val="auto"/>
              <w:rPr>
                <w:rFonts w:hint="eastAsia" w:ascii="仿宋" w:hAnsi="仿宋" w:eastAsia="仿宋" w:cs="仿宋"/>
                <w:snapToGrid/>
                <w:sz w:val="32"/>
                <w:szCs w:val="32"/>
                <w:lang w:val="zh-CN" w:eastAsia="zh-CN" w:bidi="zh-CN"/>
              </w:rPr>
            </w:pPr>
          </w:p>
        </w:tc>
      </w:tr>
      <w:tr w14:paraId="31B601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236A3B1">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6213D32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tcW w:w="1259" w:type="pct"/>
            <w:shd w:val="clear" w:color="auto" w:fill="auto"/>
            <w:vAlign w:val="center"/>
          </w:tcPr>
          <w:p w14:paraId="44FCCF4F">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（1）对现场景观有轻度影响。</w:t>
            </w:r>
          </w:p>
        </w:tc>
        <w:tc>
          <w:tcPr>
            <w:tcW w:w="1240" w:type="pct"/>
            <w:vMerge w:val="continue"/>
            <w:shd w:val="clear" w:color="auto" w:fill="auto"/>
            <w:vAlign w:val="center"/>
          </w:tcPr>
          <w:p w14:paraId="2EB6196E">
            <w:pPr>
              <w:widowControl w:val="0"/>
              <w:kinsoku/>
              <w:adjustRightInd/>
              <w:snapToGrid/>
              <w:textAlignment w:val="auto"/>
              <w:rPr>
                <w:rFonts w:hint="eastAsia" w:ascii="仿宋" w:hAnsi="仿宋" w:eastAsia="仿宋" w:cs="仿宋"/>
                <w:snapToGrid/>
                <w:sz w:val="32"/>
                <w:szCs w:val="32"/>
                <w:lang w:val="zh-CN" w:eastAsia="zh-CN" w:bidi="zh-CN"/>
              </w:rPr>
            </w:pPr>
          </w:p>
        </w:tc>
      </w:tr>
      <w:tr w14:paraId="0089DB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2B59F2C">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27DDA78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tcW w:w="1259" w:type="pct"/>
            <w:shd w:val="clear" w:color="auto" w:fill="auto"/>
            <w:vAlign w:val="center"/>
          </w:tcPr>
          <w:p w14:paraId="040C14B2">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（1）可能造成1～2例有健康影响的事件。</w:t>
            </w:r>
          </w:p>
        </w:tc>
        <w:tc>
          <w:tcPr>
            <w:tcW w:w="1240" w:type="pct"/>
            <w:vMerge w:val="continue"/>
            <w:shd w:val="clear" w:color="auto" w:fill="auto"/>
            <w:vAlign w:val="center"/>
          </w:tcPr>
          <w:p w14:paraId="1090CCF1">
            <w:pPr>
              <w:widowControl w:val="0"/>
              <w:kinsoku/>
              <w:adjustRightInd/>
              <w:snapToGrid/>
              <w:textAlignment w:val="auto"/>
              <w:rPr>
                <w:rFonts w:hint="eastAsia" w:ascii="仿宋" w:hAnsi="仿宋" w:eastAsia="仿宋" w:cs="仿宋"/>
                <w:snapToGrid/>
                <w:sz w:val="32"/>
                <w:szCs w:val="32"/>
                <w:lang w:val="zh-CN" w:eastAsia="zh-CN" w:bidi="zh-CN"/>
              </w:rPr>
            </w:pPr>
          </w:p>
        </w:tc>
      </w:tr>
    </w:tbl>
    <w:p w14:paraId="4DC5AB6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p>
    <w:p w14:paraId="26F0192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表4</w:t>
      </w:r>
      <w:r>
        <w:rPr>
          <w:rFonts w:hint="eastAsia" w:ascii="仿宋" w:hAnsi="仿宋" w:eastAsia="仿宋" w:cs="仿宋"/>
          <w:b/>
          <w:bCs/>
          <w:sz w:val="32"/>
          <w:szCs w:val="32"/>
          <w:lang w:val="en-US" w:eastAsia="zh-CN" w:bidi="zh-CN"/>
        </w:rPr>
        <w:t xml:space="preserve"> </w:t>
      </w:r>
      <w:r>
        <w:rPr>
          <w:rFonts w:hint="eastAsia" w:ascii="仿宋" w:hAnsi="仿宋" w:eastAsia="仿宋" w:cs="仿宋"/>
          <w:b/>
          <w:bCs/>
          <w:sz w:val="32"/>
          <w:szCs w:val="32"/>
          <w:lang w:val="zh-CN" w:eastAsia="zh-CN" w:bidi="zh-CN"/>
        </w:rPr>
        <w:t>风险等级（D=L×E×C）标准</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2140"/>
        <w:gridCol w:w="3669"/>
        <w:gridCol w:w="2711"/>
      </w:tblGrid>
      <w:tr w14:paraId="377DA4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140" w:type="dxa"/>
            <w:shd w:val="clear" w:color="auto" w:fill="auto"/>
            <w:vAlign w:val="center"/>
          </w:tcPr>
          <w:p w14:paraId="6B2D314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序号</w:t>
            </w:r>
          </w:p>
        </w:tc>
        <w:tc>
          <w:tcPr>
            <w:tcW w:w="3669" w:type="dxa"/>
            <w:shd w:val="clear" w:color="auto" w:fill="auto"/>
            <w:vAlign w:val="center"/>
          </w:tcPr>
          <w:p w14:paraId="40FD04B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风险等级</w:t>
            </w:r>
          </w:p>
        </w:tc>
        <w:tc>
          <w:tcPr>
            <w:tcW w:w="2711" w:type="dxa"/>
            <w:shd w:val="clear" w:color="auto" w:fill="auto"/>
            <w:vAlign w:val="center"/>
          </w:tcPr>
          <w:p w14:paraId="0F9A68F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判定条件</w:t>
            </w:r>
          </w:p>
        </w:tc>
      </w:tr>
      <w:tr w14:paraId="450530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140" w:type="dxa"/>
            <w:shd w:val="clear" w:color="auto" w:fill="auto"/>
            <w:vAlign w:val="center"/>
          </w:tcPr>
          <w:p w14:paraId="26FCDF6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tcW w:w="3669" w:type="dxa"/>
            <w:shd w:val="clear" w:color="auto" w:fill="auto"/>
            <w:vAlign w:val="center"/>
          </w:tcPr>
          <w:p w14:paraId="026D4ACA">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重大风险</w:t>
            </w:r>
          </w:p>
        </w:tc>
        <w:tc>
          <w:tcPr>
            <w:tcW w:w="2711" w:type="dxa"/>
            <w:shd w:val="clear" w:color="auto" w:fill="auto"/>
            <w:vAlign w:val="center"/>
          </w:tcPr>
          <w:p w14:paraId="647C815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D≥400</w:t>
            </w:r>
          </w:p>
        </w:tc>
      </w:tr>
      <w:tr w14:paraId="2DABE6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140" w:type="dxa"/>
            <w:shd w:val="clear" w:color="auto" w:fill="auto"/>
            <w:vAlign w:val="center"/>
          </w:tcPr>
          <w:p w14:paraId="2C71CE7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tcW w:w="3669" w:type="dxa"/>
            <w:shd w:val="clear" w:color="auto" w:fill="auto"/>
            <w:vAlign w:val="center"/>
          </w:tcPr>
          <w:p w14:paraId="40EDE64A">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较大风险</w:t>
            </w:r>
          </w:p>
        </w:tc>
        <w:tc>
          <w:tcPr>
            <w:tcW w:w="2711" w:type="dxa"/>
            <w:shd w:val="clear" w:color="auto" w:fill="auto"/>
            <w:vAlign w:val="center"/>
          </w:tcPr>
          <w:p w14:paraId="2C2405F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200≤D＜400</w:t>
            </w:r>
          </w:p>
        </w:tc>
      </w:tr>
      <w:tr w14:paraId="63A6C0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140" w:type="dxa"/>
            <w:shd w:val="clear" w:color="auto" w:fill="auto"/>
            <w:vAlign w:val="center"/>
          </w:tcPr>
          <w:p w14:paraId="4CBABC1E">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tcW w:w="3669" w:type="dxa"/>
            <w:shd w:val="clear" w:color="auto" w:fill="auto"/>
            <w:vAlign w:val="center"/>
          </w:tcPr>
          <w:p w14:paraId="5F3077D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一般风险</w:t>
            </w:r>
          </w:p>
        </w:tc>
        <w:tc>
          <w:tcPr>
            <w:tcW w:w="2711" w:type="dxa"/>
            <w:shd w:val="clear" w:color="auto" w:fill="auto"/>
            <w:vAlign w:val="center"/>
          </w:tcPr>
          <w:p w14:paraId="5DA9945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70≤D＜200</w:t>
            </w:r>
          </w:p>
        </w:tc>
      </w:tr>
      <w:tr w14:paraId="02241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88" w:hRule="atLeast"/>
          <w:jc w:val="center"/>
        </w:trPr>
        <w:tc>
          <w:tcPr>
            <w:tcW w:w="2140" w:type="dxa"/>
            <w:shd w:val="clear" w:color="auto" w:fill="auto"/>
            <w:vAlign w:val="center"/>
          </w:tcPr>
          <w:p w14:paraId="43075FFA">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tcW w:w="3669" w:type="dxa"/>
            <w:shd w:val="clear" w:color="auto" w:fill="auto"/>
            <w:vAlign w:val="center"/>
          </w:tcPr>
          <w:p w14:paraId="4846ADD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低风险</w:t>
            </w:r>
          </w:p>
        </w:tc>
        <w:tc>
          <w:tcPr>
            <w:tcW w:w="2711" w:type="dxa"/>
            <w:shd w:val="clear" w:color="auto" w:fill="auto"/>
            <w:vAlign w:val="center"/>
          </w:tcPr>
          <w:p w14:paraId="32A3FE8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D＜70</w:t>
            </w:r>
          </w:p>
        </w:tc>
      </w:tr>
    </w:tbl>
    <w:p w14:paraId="34A8959D">
      <w:pPr>
        <w:widowControl w:val="0"/>
        <w:kinsoku/>
        <w:adjustRightInd/>
        <w:snapToGrid/>
        <w:textAlignment w:val="auto"/>
        <w:rPr>
          <w:rFonts w:ascii="宋体" w:hAnsi="宋体" w:eastAsia="宋体" w:cs="宋体"/>
          <w:snapToGrid/>
          <w:sz w:val="22"/>
          <w:szCs w:val="22"/>
          <w:lang w:val="zh-CN" w:eastAsia="zh-CN" w:bidi="zh-CN"/>
        </w:rPr>
      </w:pPr>
    </w:p>
    <w:p w14:paraId="4C5FF27D">
      <w:pPr>
        <w:widowControl w:val="0"/>
        <w:autoSpaceDE w:val="0"/>
        <w:autoSpaceDN w:val="0"/>
        <w:ind w:left="108" w:firstLine="535"/>
        <w:rPr>
          <w:rFonts w:hint="eastAsia" w:ascii="宋体" w:hAnsi="宋体" w:eastAsia="宋体" w:cs="宋体"/>
          <w:sz w:val="28"/>
          <w:szCs w:val="28"/>
          <w:lang w:val="en-US" w:eastAsia="zh-CN" w:bidi="zh-CN"/>
        </w:rPr>
      </w:pPr>
    </w:p>
    <w:p w14:paraId="02C0B91A">
      <w:pPr>
        <w:spacing w:before="102" w:line="228" w:lineRule="auto"/>
      </w:pPr>
    </w:p>
    <w:sectPr>
      <w:footerReference r:id="rId6" w:type="default"/>
      <w:pgSz w:w="11906" w:h="16838"/>
      <w:pgMar w:top="1440" w:right="1800" w:bottom="1440" w:left="1800" w:header="720" w:footer="720"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3BCB01-5ECC-4142-AF32-336ACE5484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9E845289-F847-4954-A55C-6859EBBE8E2F}"/>
  </w:font>
  <w:font w:name="方正小标宋简体">
    <w:panose1 w:val="02010600010101010101"/>
    <w:charset w:val="86"/>
    <w:family w:val="auto"/>
    <w:pitch w:val="default"/>
    <w:sig w:usb0="00000001" w:usb1="080E0000" w:usb2="00000000" w:usb3="00000000" w:csb0="00040000" w:csb1="00000000"/>
    <w:embedRegular r:id="rId3" w:fontKey="{7E8E1873-2D7D-4DE4-B324-18636BA7EDB0}"/>
  </w:font>
  <w:font w:name="楷体">
    <w:panose1 w:val="02010609060101010101"/>
    <w:charset w:val="86"/>
    <w:family w:val="modern"/>
    <w:pitch w:val="default"/>
    <w:sig w:usb0="800002BF" w:usb1="38CF7CFA" w:usb2="00000016" w:usb3="00000000" w:csb0="00040001" w:csb1="00000000"/>
    <w:embedRegular r:id="rId4" w:fontKey="{2E8B5D65-FC9B-4C6E-967B-1EE5F7111ABE}"/>
  </w:font>
  <w:font w:name="仿宋_GB2312">
    <w:panose1 w:val="02010609030101010101"/>
    <w:charset w:val="86"/>
    <w:family w:val="auto"/>
    <w:pitch w:val="default"/>
    <w:sig w:usb0="00000001" w:usb1="080E0000" w:usb2="00000000" w:usb3="00000000" w:csb0="00040000" w:csb1="00000000"/>
    <w:embedRegular r:id="rId5" w:fontKey="{DC2B7C93-7956-4E86-8CAA-B7E29A04DF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7B80">
    <w:pPr>
      <w:spacing w:line="226" w:lineRule="exact"/>
      <w:ind w:left="4143"/>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60C89">
    <w:pPr>
      <w:spacing w:line="226" w:lineRule="exact"/>
      <w:ind w:left="4179"/>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FD976">
    <w:pPr>
      <w:spacing w:line="226" w:lineRule="exact"/>
      <w:ind w:left="41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313D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A0313D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9563">
    <w:pPr>
      <w:widowControl w:val="0"/>
      <w:tabs>
        <w:tab w:val="center" w:pos="4153"/>
        <w:tab w:val="right" w:pos="8306"/>
      </w:tabs>
      <w:autoSpaceDE w:val="0"/>
      <w:autoSpaceDN w:val="0"/>
      <w:snapToGrid w:val="0"/>
      <w:jc w:val="center"/>
      <w:rPr>
        <w:rFonts w:ascii="宋体" w:hAnsi="宋体" w:eastAsia="宋体" w:cs="宋体"/>
        <w:sz w:val="18"/>
        <w:szCs w:val="22"/>
        <w:lang w:val="zh-CN" w:eastAsia="zh-CN" w:bidi="zh-CN"/>
      </w:rPr>
    </w:pPr>
    <w:r>
      <w:rPr>
        <w:rFonts w:ascii="宋体" w:hAnsi="宋体" w:eastAsia="宋体" w:cs="宋体"/>
        <w:sz w:val="18"/>
        <w:szCs w:val="22"/>
        <w:lang w:val="zh-CN" w:eastAsia="zh-CN" w:bidi="zh-CN"/>
      </w:rPr>
      <mc:AlternateContent>
        <mc:Choice Requires="wps">
          <w:drawing>
            <wp:anchor distT="0" distB="0" distL="114300" distR="114300" simplePos="0" relativeHeight="25170329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80C04">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t>—</w:t>
                          </w:r>
                          <w:r>
                            <w:rPr>
                              <w:rFonts w:hint="eastAsia" w:ascii="仿宋" w:hAnsi="仿宋" w:eastAsia="仿宋" w:cs="仿宋"/>
                              <w:sz w:val="32"/>
                              <w:szCs w:val="32"/>
                              <w:lang w:val="zh-CN" w:eastAsia="zh-CN" w:bidi="zh-CN"/>
                            </w:rPr>
                            <w:t xml:space="preserve"> </w:t>
                          </w:r>
                          <w:r>
                            <w:rPr>
                              <w:rFonts w:hint="eastAsia" w:ascii="仿宋" w:hAnsi="仿宋" w:eastAsia="仿宋" w:cs="仿宋"/>
                              <w:sz w:val="32"/>
                              <w:szCs w:val="32"/>
                              <w:lang w:val="zh-CN" w:eastAsia="zh-CN" w:bidi="zh-CN"/>
                            </w:rPr>
                            <w:fldChar w:fldCharType="begin"/>
                          </w:r>
                          <w:r>
                            <w:rPr>
                              <w:rFonts w:hint="eastAsia" w:ascii="仿宋" w:hAnsi="仿宋" w:eastAsia="仿宋" w:cs="仿宋"/>
                              <w:sz w:val="32"/>
                              <w:szCs w:val="32"/>
                              <w:lang w:val="zh-CN" w:eastAsia="zh-CN" w:bidi="zh-CN"/>
                            </w:rPr>
                            <w:instrText xml:space="preserve"> PAGE  \* MERGEFORMAT </w:instrText>
                          </w:r>
                          <w:r>
                            <w:rPr>
                              <w:rFonts w:hint="eastAsia" w:ascii="仿宋" w:hAnsi="仿宋" w:eastAsia="仿宋" w:cs="仿宋"/>
                              <w:sz w:val="32"/>
                              <w:szCs w:val="32"/>
                              <w:lang w:val="zh-CN" w:eastAsia="zh-CN" w:bidi="zh-CN"/>
                            </w:rPr>
                            <w:fldChar w:fldCharType="separate"/>
                          </w:r>
                          <w:r>
                            <w:rPr>
                              <w:rFonts w:hint="eastAsia" w:ascii="仿宋" w:hAnsi="仿宋" w:eastAsia="仿宋" w:cs="仿宋"/>
                              <w:sz w:val="32"/>
                              <w:szCs w:val="32"/>
                              <w:lang w:val="zh-CN" w:eastAsia="zh-CN" w:bidi="zh-CN"/>
                            </w:rPr>
                            <w:t>34</w:t>
                          </w:r>
                          <w:r>
                            <w:rPr>
                              <w:rFonts w:hint="eastAsia" w:ascii="仿宋" w:hAnsi="仿宋" w:eastAsia="仿宋" w:cs="仿宋"/>
                              <w:sz w:val="32"/>
                              <w:szCs w:val="32"/>
                              <w:lang w:val="zh-CN" w:eastAsia="zh-CN" w:bidi="zh-CN"/>
                            </w:rPr>
                            <w:fldChar w:fldCharType="end"/>
                          </w:r>
                          <w:r>
                            <w:rPr>
                              <w:rFonts w:hint="eastAsia" w:ascii="仿宋" w:hAnsi="仿宋" w:eastAsia="仿宋" w:cs="仿宋"/>
                              <w:sz w:val="32"/>
                              <w:szCs w:val="32"/>
                              <w:lang w:val="zh-CN" w:eastAsia="zh-CN" w:bidi="zh-CN"/>
                            </w:rPr>
                            <w:t xml:space="preserve"> </w:t>
                          </w:r>
                          <w:r>
                            <w:rPr>
                              <w:rFonts w:ascii="宋体" w:hAnsi="宋体" w:eastAsia="宋体" w:cs="宋体"/>
                              <w:sz w:val="18"/>
                              <w:szCs w:val="22"/>
                              <w:lang w:val="zh-CN" w:eastAsia="zh-CN" w:bidi="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6080C04">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t>—</w:t>
                    </w:r>
                    <w:r>
                      <w:rPr>
                        <w:rFonts w:hint="eastAsia" w:ascii="仿宋" w:hAnsi="仿宋" w:eastAsia="仿宋" w:cs="仿宋"/>
                        <w:sz w:val="32"/>
                        <w:szCs w:val="32"/>
                        <w:lang w:val="zh-CN" w:eastAsia="zh-CN" w:bidi="zh-CN"/>
                      </w:rPr>
                      <w:t xml:space="preserve"> </w:t>
                    </w:r>
                    <w:r>
                      <w:rPr>
                        <w:rFonts w:hint="eastAsia" w:ascii="仿宋" w:hAnsi="仿宋" w:eastAsia="仿宋" w:cs="仿宋"/>
                        <w:sz w:val="32"/>
                        <w:szCs w:val="32"/>
                        <w:lang w:val="zh-CN" w:eastAsia="zh-CN" w:bidi="zh-CN"/>
                      </w:rPr>
                      <w:fldChar w:fldCharType="begin"/>
                    </w:r>
                    <w:r>
                      <w:rPr>
                        <w:rFonts w:hint="eastAsia" w:ascii="仿宋" w:hAnsi="仿宋" w:eastAsia="仿宋" w:cs="仿宋"/>
                        <w:sz w:val="32"/>
                        <w:szCs w:val="32"/>
                        <w:lang w:val="zh-CN" w:eastAsia="zh-CN" w:bidi="zh-CN"/>
                      </w:rPr>
                      <w:instrText xml:space="preserve"> PAGE  \* MERGEFORMAT </w:instrText>
                    </w:r>
                    <w:r>
                      <w:rPr>
                        <w:rFonts w:hint="eastAsia" w:ascii="仿宋" w:hAnsi="仿宋" w:eastAsia="仿宋" w:cs="仿宋"/>
                        <w:sz w:val="32"/>
                        <w:szCs w:val="32"/>
                        <w:lang w:val="zh-CN" w:eastAsia="zh-CN" w:bidi="zh-CN"/>
                      </w:rPr>
                      <w:fldChar w:fldCharType="separate"/>
                    </w:r>
                    <w:r>
                      <w:rPr>
                        <w:rFonts w:hint="eastAsia" w:ascii="仿宋" w:hAnsi="仿宋" w:eastAsia="仿宋" w:cs="仿宋"/>
                        <w:sz w:val="32"/>
                        <w:szCs w:val="32"/>
                        <w:lang w:val="zh-CN" w:eastAsia="zh-CN" w:bidi="zh-CN"/>
                      </w:rPr>
                      <w:t>34</w:t>
                    </w:r>
                    <w:r>
                      <w:rPr>
                        <w:rFonts w:hint="eastAsia" w:ascii="仿宋" w:hAnsi="仿宋" w:eastAsia="仿宋" w:cs="仿宋"/>
                        <w:sz w:val="32"/>
                        <w:szCs w:val="32"/>
                        <w:lang w:val="zh-CN" w:eastAsia="zh-CN" w:bidi="zh-CN"/>
                      </w:rPr>
                      <w:fldChar w:fldCharType="end"/>
                    </w:r>
                    <w:r>
                      <w:rPr>
                        <w:rFonts w:hint="eastAsia" w:ascii="仿宋" w:hAnsi="仿宋" w:eastAsia="仿宋" w:cs="仿宋"/>
                        <w:sz w:val="32"/>
                        <w:szCs w:val="32"/>
                        <w:lang w:val="zh-CN" w:eastAsia="zh-CN" w:bidi="zh-CN"/>
                      </w:rPr>
                      <w:t xml:space="preserve"> </w:t>
                    </w:r>
                    <w:r>
                      <w:rPr>
                        <w:rFonts w:ascii="宋体" w:hAnsi="宋体" w:eastAsia="宋体" w:cs="宋体"/>
                        <w:sz w:val="18"/>
                        <w:szCs w:val="22"/>
                        <w:lang w:val="zh-CN" w:eastAsia="zh-CN" w:bidi="zh-CN"/>
                      </w:rPr>
                      <w:t>—</w:t>
                    </w:r>
                  </w:p>
                </w:txbxContent>
              </v:textbox>
            </v:shape>
          </w:pict>
        </mc:Fallback>
      </mc:AlternateContent>
    </w:r>
  </w:p>
  <w:p w14:paraId="2B18239B">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E4E5E"/>
    <w:rsid w:val="003805CA"/>
    <w:rsid w:val="004327F7"/>
    <w:rsid w:val="005A61B8"/>
    <w:rsid w:val="005F3415"/>
    <w:rsid w:val="007611CB"/>
    <w:rsid w:val="00831322"/>
    <w:rsid w:val="0085326E"/>
    <w:rsid w:val="00B71D65"/>
    <w:rsid w:val="00BD6AA4"/>
    <w:rsid w:val="00C45ABF"/>
    <w:rsid w:val="00EF4987"/>
    <w:rsid w:val="00F956D2"/>
    <w:rsid w:val="04446205"/>
    <w:rsid w:val="04C80BE4"/>
    <w:rsid w:val="06E427E9"/>
    <w:rsid w:val="06E65352"/>
    <w:rsid w:val="07B00B00"/>
    <w:rsid w:val="08872B64"/>
    <w:rsid w:val="089D1B11"/>
    <w:rsid w:val="0A4535DA"/>
    <w:rsid w:val="0C0B050C"/>
    <w:rsid w:val="0E5B4A48"/>
    <w:rsid w:val="0EA2796F"/>
    <w:rsid w:val="11A450CF"/>
    <w:rsid w:val="1360023A"/>
    <w:rsid w:val="143F2545"/>
    <w:rsid w:val="14DB58F3"/>
    <w:rsid w:val="14E65E97"/>
    <w:rsid w:val="157D1577"/>
    <w:rsid w:val="159A4E11"/>
    <w:rsid w:val="16800966"/>
    <w:rsid w:val="16963099"/>
    <w:rsid w:val="173F40AC"/>
    <w:rsid w:val="1B2A38E1"/>
    <w:rsid w:val="1B3E4E5E"/>
    <w:rsid w:val="1CA13472"/>
    <w:rsid w:val="1D4B3D09"/>
    <w:rsid w:val="1D6337A5"/>
    <w:rsid w:val="1DDC7057"/>
    <w:rsid w:val="1F040613"/>
    <w:rsid w:val="1F694017"/>
    <w:rsid w:val="1FB70C63"/>
    <w:rsid w:val="1FE67D19"/>
    <w:rsid w:val="2298179E"/>
    <w:rsid w:val="23FE4FA4"/>
    <w:rsid w:val="2B386D3B"/>
    <w:rsid w:val="2BDA6A14"/>
    <w:rsid w:val="2DCA6ECC"/>
    <w:rsid w:val="313E2C7A"/>
    <w:rsid w:val="32911D66"/>
    <w:rsid w:val="33227512"/>
    <w:rsid w:val="33EC194A"/>
    <w:rsid w:val="34533777"/>
    <w:rsid w:val="36BD1898"/>
    <w:rsid w:val="38623C86"/>
    <w:rsid w:val="39AE162C"/>
    <w:rsid w:val="39E522F1"/>
    <w:rsid w:val="3A94166E"/>
    <w:rsid w:val="3AE052A8"/>
    <w:rsid w:val="3BBB5602"/>
    <w:rsid w:val="3CF07224"/>
    <w:rsid w:val="3E0A6467"/>
    <w:rsid w:val="41A44AB5"/>
    <w:rsid w:val="41FD1F24"/>
    <w:rsid w:val="432A5783"/>
    <w:rsid w:val="4377608E"/>
    <w:rsid w:val="46611AE3"/>
    <w:rsid w:val="47AA76FA"/>
    <w:rsid w:val="47EC5F8C"/>
    <w:rsid w:val="48FE4AE6"/>
    <w:rsid w:val="49570311"/>
    <w:rsid w:val="4A6E0EB3"/>
    <w:rsid w:val="4CCC28CD"/>
    <w:rsid w:val="4DE374C2"/>
    <w:rsid w:val="519D4FE9"/>
    <w:rsid w:val="523E560F"/>
    <w:rsid w:val="52427B08"/>
    <w:rsid w:val="53937294"/>
    <w:rsid w:val="53C65FCA"/>
    <w:rsid w:val="55144405"/>
    <w:rsid w:val="5536081F"/>
    <w:rsid w:val="55516B11"/>
    <w:rsid w:val="559E0172"/>
    <w:rsid w:val="568D6138"/>
    <w:rsid w:val="57D67A20"/>
    <w:rsid w:val="588A5457"/>
    <w:rsid w:val="588E0972"/>
    <w:rsid w:val="590545B8"/>
    <w:rsid w:val="59A87DAA"/>
    <w:rsid w:val="5A0E18BC"/>
    <w:rsid w:val="5C4F21C6"/>
    <w:rsid w:val="5CDD48D7"/>
    <w:rsid w:val="5D7C26D5"/>
    <w:rsid w:val="5FB20F0C"/>
    <w:rsid w:val="60DE0F51"/>
    <w:rsid w:val="62BD2315"/>
    <w:rsid w:val="62DD2773"/>
    <w:rsid w:val="65426D6C"/>
    <w:rsid w:val="65C47781"/>
    <w:rsid w:val="666E7D07"/>
    <w:rsid w:val="66C46209"/>
    <w:rsid w:val="66DE0D17"/>
    <w:rsid w:val="69E00902"/>
    <w:rsid w:val="6C312DDC"/>
    <w:rsid w:val="6C7F2654"/>
    <w:rsid w:val="6D934609"/>
    <w:rsid w:val="6DBF2FED"/>
    <w:rsid w:val="6FBD3BBF"/>
    <w:rsid w:val="70285904"/>
    <w:rsid w:val="7090092E"/>
    <w:rsid w:val="712E63F7"/>
    <w:rsid w:val="736B4367"/>
    <w:rsid w:val="756B3B07"/>
    <w:rsid w:val="761756AB"/>
    <w:rsid w:val="76184D34"/>
    <w:rsid w:val="763224A7"/>
    <w:rsid w:val="7691545E"/>
    <w:rsid w:val="769B008A"/>
    <w:rsid w:val="78793551"/>
    <w:rsid w:val="78AD22F7"/>
    <w:rsid w:val="7A0447B7"/>
    <w:rsid w:val="7A711741"/>
    <w:rsid w:val="7B4C4806"/>
    <w:rsid w:val="7DBA60B3"/>
    <w:rsid w:val="7DE07113"/>
    <w:rsid w:val="7E7D1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 Spacing1"/>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Calibri"/>
      <w:kern w:val="2"/>
      <w:sz w:val="32"/>
      <w:szCs w:val="32"/>
      <w:lang w:val="en-US" w:eastAsia="zh-CN" w:bidi="ar"/>
    </w:rPr>
  </w:style>
  <w:style w:type="paragraph" w:styleId="3">
    <w:name w:val="annotation text"/>
    <w:basedOn w:val="1"/>
    <w:qFormat/>
    <w:uiPriority w:val="0"/>
    <w:pPr>
      <w:jc w:val="left"/>
    </w:pPr>
  </w:style>
  <w:style w:type="paragraph" w:styleId="4">
    <w:name w:val="Body Text"/>
    <w:basedOn w:val="1"/>
    <w:semiHidden/>
    <w:qFormat/>
    <w:uiPriority w:val="0"/>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character" w:styleId="11">
    <w:name w:val="Strong"/>
    <w:basedOn w:val="10"/>
    <w:qFormat/>
    <w:uiPriority w:val="0"/>
    <w:rPr>
      <w:b/>
    </w:rPr>
  </w:style>
  <w:style w:type="paragraph" w:customStyle="1" w:styleId="12">
    <w:name w:val="Table Paragraph"/>
    <w:basedOn w:val="1"/>
    <w:qFormat/>
    <w:uiPriority w:val="1"/>
    <w:pPr>
      <w:jc w:val="center"/>
    </w:pPr>
  </w:style>
  <w:style w:type="paragraph" w:customStyle="1" w:styleId="13">
    <w:name w:val="Table Text"/>
    <w:basedOn w:val="1"/>
    <w:semiHidden/>
    <w:qFormat/>
    <w:uiPriority w:val="0"/>
    <w:rPr>
      <w:rFonts w:ascii="宋体" w:hAnsi="宋体" w:eastAsia="宋体" w:cs="宋体"/>
      <w:sz w:val="24"/>
      <w:szCs w:val="24"/>
    </w:rPr>
  </w:style>
  <w:style w:type="paragraph" w:customStyle="1" w:styleId="14">
    <w:name w:val="Compact"/>
    <w:basedOn w:val="4"/>
    <w:qFormat/>
    <w:uiPriority w:val="0"/>
    <w:pPr>
      <w:spacing w:before="60" w:after="60"/>
      <w:ind w:firstLine="0" w:firstLineChars="0"/>
    </w:pPr>
  </w:style>
  <w:style w:type="table" w:customStyle="1" w:styleId="15">
    <w:name w:val="Table"/>
    <w:semiHidden/>
    <w:unhideWhenUsed/>
    <w:qFormat/>
    <w:uiPriority w:val="0"/>
    <w:rPr>
      <w:rFonts w:ascii="Times New Roman" w:hAnsi="Times New Roman" w:eastAsia="仿宋"/>
      <w:sz w:val="20"/>
      <w:szCs w:val="20"/>
      <w:lang w:eastAsia="zh-CN"/>
    </w:rPr>
    <w:tblPr>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
    <w:trPr>
      <w:jc w:val="center"/>
    </w:trPr>
    <w:tcPr>
      <w:shd w:val="clear" w:color="auto" w:fill="auto"/>
      <w:vAlign w:val="center"/>
    </w:tcPr>
    <w:tblStylePr w:type="firstRow">
      <w:rPr>
        <w:rFonts w:eastAsia="宋体"/>
        <w:b/>
        <w:i w:val="0"/>
      </w:rPr>
      <w:tcPr>
        <w:tcBorders>
          <w:bottom w:val="single" w:color="auto"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9e950b3d-5326-4085-aef3-fcf64cebacc3</errorID>
      <errorWord>最大的</errorWord>
      <group>L1_Word</group>
      <groupName>字词问题</groupName>
      <ability>L2_Typo</ability>
      <abilityName>字词错误</abilityName>
      <candidateList>
        <item>最大</item>
      </candidateList>
      <explain/>
      <paraID>505E4D4E</paraID>
      <start>38</start>
      <end>40</end>
      <status>modified</status>
      <modifiedWord>最大</modifiedWord>
      <trackRevisions>false</trackRevisions>
    </reviewItem>
    <reviewItem>
      <errorID>673f891a-6f9f-433d-af07-7b43206f051f</errorID>
      <errorWord>通讯保障</errorWord>
      <group>L1_Word</group>
      <groupName>字词问题</groupName>
      <ability>L2_Alias</ability>
      <abilityName>也作/曾用词</abilityName>
      <candidateList>
        <item>通信保障</item>
      </candidateList>
      <explain>词汇[通讯保障]为不规范表述或旧称，其规范书面表述为[通信保障]。</explain>
      <paraID>7FC017A7</paraID>
      <start>3</start>
      <end>7</end>
      <status>unmodified</status>
      <modifiedWord/>
      <trackRevisions>false</trackRevisions>
    </reviewItem>
    <reviewItem>
      <errorID>a5bac3f7-9bec-4d01-a2d5-d7c68e81272d</errorID>
      <errorWord>、大</errorWord>
      <group>L1_Word</group>
      <groupName>字词问题</groupName>
      <ability>L2_Typo</ability>
      <abilityName>字词错误</abilityName>
      <candidateList>
        <item>、</item>
      </candidateList>
      <explain/>
      <paraID> 3CE2151</paraID>
      <start>21</start>
      <end>23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582ba4-fbac-4a21-b072-387b91358b0d}">
  <ds:schemaRefs/>
</ds:datastoreItem>
</file>

<file path=docProps/app.xml><?xml version="1.0" encoding="utf-8"?>
<Properties xmlns="http://schemas.openxmlformats.org/officeDocument/2006/extended-properties" xmlns:vt="http://schemas.openxmlformats.org/officeDocument/2006/docPropsVTypes">
  <Template>Normal</Template>
  <Pages>34</Pages>
  <Words>9936</Words>
  <Characters>10132</Characters>
  <Lines>371</Lines>
  <Paragraphs>369</Paragraphs>
  <TotalTime>9</TotalTime>
  <ScaleCrop>false</ScaleCrop>
  <LinksUpToDate>false</LinksUpToDate>
  <CharactersWithSpaces>10278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2025-10-20T00:39:00Z</dcterms:created>
  <dc:creator>刘鹏</dc:creator>
  <cp:lastModifiedBy>A</cp:lastModifiedBy>
  <cp:lastPrinted>2025-10-23T08:48:00Z</cp:lastPrinted>
  <dcterms:modified xsi:type="dcterms:W3CDTF">2026-02-02T06:58:56Z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9381272BAC7346BFA7933E16BA0786CD_13</vt:lpwstr>
  </property>
  <property fmtid="{D5CDD505-2E9C-101B-9397-08002B2CF9AE}" pid="4" name="KSOTemplateDocerSaveRecord">
    <vt:lpwstr>eyJoZGlkIjoiMGQ0ODlkZjk1YWVhMmM1YjE4NTliNDE5NmJiMTdmNGMiLCJ1c2VySWQiOiIyNTc2OTIxMzcifQ==</vt:lpwstr>
  </property>
</Properties>
</file>