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0CD6F">
      <w:pPr>
        <w:pStyle w:val="6"/>
        <w:rPr>
          <w:rFonts w:hint="eastAsia" w:ascii="Times New Roman"/>
          <w:sz w:val="20"/>
        </w:rPr>
      </w:pPr>
    </w:p>
    <w:p w14:paraId="3FD5F636">
      <w:pPr>
        <w:pStyle w:val="6"/>
        <w:rPr>
          <w:rFonts w:hint="eastAsia" w:ascii="Times New Roman"/>
          <w:sz w:val="20"/>
        </w:rPr>
      </w:pPr>
    </w:p>
    <w:p w14:paraId="0E535C1F">
      <w:pPr>
        <w:pStyle w:val="6"/>
        <w:rPr>
          <w:rFonts w:hint="eastAsia" w:ascii="Times New Roman"/>
          <w:sz w:val="20"/>
        </w:rPr>
      </w:pPr>
    </w:p>
    <w:p w14:paraId="2F01D752">
      <w:pPr>
        <w:pStyle w:val="6"/>
        <w:rPr>
          <w:rFonts w:hint="eastAsia" w:ascii="Times New Roman"/>
          <w:sz w:val="20"/>
        </w:rPr>
      </w:pPr>
    </w:p>
    <w:p w14:paraId="74AE3842">
      <w:pPr>
        <w:pStyle w:val="6"/>
        <w:rPr>
          <w:rFonts w:hint="eastAsia" w:ascii="Times New Roman"/>
          <w:sz w:val="20"/>
        </w:rPr>
      </w:pPr>
    </w:p>
    <w:p w14:paraId="5AB12327">
      <w:pPr>
        <w:pStyle w:val="6"/>
        <w:rPr>
          <w:rFonts w:hint="eastAsia" w:ascii="Times New Roman"/>
          <w:sz w:val="20"/>
        </w:rPr>
      </w:pPr>
    </w:p>
    <w:p w14:paraId="589E6DA7">
      <w:pPr>
        <w:pStyle w:val="6"/>
        <w:rPr>
          <w:rFonts w:hint="eastAsia" w:ascii="Times New Roman"/>
          <w:sz w:val="20"/>
        </w:rPr>
      </w:pPr>
    </w:p>
    <w:p w14:paraId="44704536">
      <w:pPr>
        <w:pStyle w:val="6"/>
        <w:rPr>
          <w:rFonts w:hint="eastAsia" w:ascii="Times New Roman"/>
          <w:sz w:val="20"/>
        </w:rPr>
      </w:pPr>
    </w:p>
    <w:p w14:paraId="221C005C">
      <w:pPr>
        <w:pStyle w:val="6"/>
        <w:keepNext w:val="0"/>
        <w:keepLines w:val="0"/>
        <w:pageBreakBefore w:val="0"/>
        <w:widowControl w:val="0"/>
        <w:tabs>
          <w:tab w:val="left" w:pos="3865"/>
          <w:tab w:val="center" w:pos="5075"/>
        </w:tabs>
        <w:kinsoku/>
        <w:wordWrap/>
        <w:overflowPunct/>
        <w:topLinePunct w:val="0"/>
        <w:autoSpaceDE w:val="0"/>
        <w:autoSpaceDN w:val="0"/>
        <w:bidi w:val="0"/>
        <w:adjustRightInd/>
        <w:snapToGrid/>
        <w:spacing w:line="240" w:lineRule="auto"/>
        <w:ind w:firstLine="0" w:firstLineChars="0"/>
        <w:jc w:val="left"/>
        <w:textAlignment w:val="auto"/>
        <w:rPr>
          <w:rFonts w:hint="eastAsia" w:asciiTheme="majorEastAsia" w:hAnsiTheme="majorEastAsia" w:eastAsiaTheme="majorEastAsia" w:cstheme="majorEastAsia"/>
          <w:sz w:val="72"/>
          <w:szCs w:val="72"/>
        </w:rPr>
      </w:pPr>
    </w:p>
    <w:p w14:paraId="274697CC">
      <w:pPr>
        <w:keepNext w:val="0"/>
        <w:keepLines w:val="0"/>
        <w:pageBreakBefore w:val="0"/>
        <w:widowControl/>
        <w:kinsoku w:val="0"/>
        <w:wordWrap/>
        <w:overflowPunct/>
        <w:topLinePunct w:val="0"/>
        <w:autoSpaceDE w:val="0"/>
        <w:autoSpaceDN w:val="0"/>
        <w:bidi w:val="0"/>
        <w:adjustRightInd w:val="0"/>
        <w:snapToGrid w:val="0"/>
        <w:spacing w:before="140" w:line="240" w:lineRule="auto"/>
        <w:jc w:val="center"/>
        <w:textAlignment w:val="baseline"/>
        <w:rPr>
          <w:rFonts w:hint="eastAsia" w:ascii="方正小标宋简体" w:hAnsi="方正小标宋简体" w:eastAsia="方正小标宋简体" w:cs="方正小标宋简体"/>
          <w:b w:val="0"/>
          <w:bCs w:val="0"/>
          <w:snapToGrid w:val="0"/>
          <w:color w:val="000000"/>
          <w:spacing w:val="4"/>
          <w:kern w:val="0"/>
          <w:sz w:val="44"/>
          <w:szCs w:val="44"/>
          <w:lang w:val="zh-CN" w:eastAsia="zh-CN" w:bidi="ar-SA"/>
        </w:rPr>
      </w:pPr>
      <w:r>
        <w:rPr>
          <w:rFonts w:hint="eastAsia" w:ascii="方正小标宋简体" w:hAnsi="方正小标宋简体" w:eastAsia="方正小标宋简体" w:cs="方正小标宋简体"/>
          <w:b w:val="0"/>
          <w:bCs w:val="0"/>
          <w:snapToGrid w:val="0"/>
          <w:color w:val="000000"/>
          <w:spacing w:val="4"/>
          <w:kern w:val="0"/>
          <w:sz w:val="44"/>
          <w:szCs w:val="44"/>
          <w:lang w:val="zh-CN" w:eastAsia="zh-CN" w:bidi="ar-SA"/>
        </w:rPr>
        <w:t>佳木斯市向阳区</w:t>
      </w:r>
    </w:p>
    <w:p w14:paraId="05B7D4E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heme="majorEastAsia" w:hAnsiTheme="majorEastAsia" w:eastAsiaTheme="majorEastAsia" w:cstheme="majorEastAsia"/>
          <w:b/>
          <w:bCs/>
          <w:sz w:val="72"/>
          <w:szCs w:val="72"/>
        </w:rPr>
        <w:sectPr>
          <w:pgSz w:w="11910" w:h="16840"/>
          <w:pgMar w:top="1582" w:right="1338" w:bottom="1321" w:left="1480" w:header="720" w:footer="720" w:gutter="0"/>
          <w:pgNumType w:fmt="decimal" w:start="1"/>
          <w:cols w:space="0" w:num="1"/>
        </w:sectPr>
      </w:pPr>
      <w:r>
        <w:rPr>
          <w:rFonts w:hint="eastAsia" w:ascii="方正小标宋简体" w:hAnsi="方正小标宋简体" w:eastAsia="方正小标宋简体" w:cs="方正小标宋简体"/>
          <w:b w:val="0"/>
          <w:bCs w:val="0"/>
          <w:snapToGrid w:val="0"/>
          <w:color w:val="000000"/>
          <w:spacing w:val="4"/>
          <w:kern w:val="0"/>
          <w:sz w:val="44"/>
          <w:szCs w:val="44"/>
          <w:lang w:val="zh-CN" w:eastAsia="zh-CN" w:bidi="ar-SA"/>
        </w:rPr>
        <w:t>建筑工程质量安全事故应急预案</w:t>
      </w:r>
    </w:p>
    <w:sdt>
      <w:sdtPr>
        <w:rPr>
          <w:sz w:val="32"/>
          <w:szCs w:val="32"/>
        </w:rPr>
        <w:id w:val="147471678"/>
        <w15:color w:val="DBDBDB"/>
        <w:docPartObj>
          <w:docPartGallery w:val="Table of Contents"/>
          <w:docPartUnique/>
        </w:docPartObj>
      </w:sdtPr>
      <w:sdtEndPr>
        <w:rPr>
          <w:rFonts w:hint="eastAsia"/>
          <w:b/>
          <w:color w:val="EE0000"/>
          <w:sz w:val="22"/>
          <w:szCs w:val="32"/>
        </w:rPr>
      </w:sdtEndPr>
      <w:sdtContent>
        <w:p w14:paraId="32504073">
          <w:pPr>
            <w:tabs>
              <w:tab w:val="left" w:pos="3905"/>
            </w:tabs>
            <w:jc w:val="center"/>
            <w:rPr>
              <w:rFonts w:hint="eastAsia" w:ascii="宋体" w:hAnsi="宋体" w:eastAsia="宋体" w:cs="宋体"/>
              <w:color w:val="EE0000"/>
              <w:sz w:val="22"/>
              <w:szCs w:val="22"/>
              <w:lang w:val="zh-CN" w:eastAsia="zh-CN" w:bidi="zh-CN"/>
            </w:rPr>
          </w:pPr>
          <w:r>
            <w:rPr>
              <w:b w:val="0"/>
              <w:bCs w:val="0"/>
              <w:color w:val="auto"/>
              <w:sz w:val="32"/>
              <w:szCs w:val="32"/>
            </w:rPr>
            <w:t>目录</w:t>
          </w:r>
          <w:r>
            <w:rPr>
              <w:rFonts w:hint="eastAsia"/>
              <w:color w:val="EE0000"/>
            </w:rPr>
            <w:fldChar w:fldCharType="begin"/>
          </w:r>
          <w:r>
            <w:rPr>
              <w:rFonts w:hint="eastAsia"/>
              <w:color w:val="EE0000"/>
            </w:rPr>
            <w:instrText xml:space="preserve">TOC\o"1-2"\h\u</w:instrText>
          </w:r>
          <w:r>
            <w:rPr>
              <w:rFonts w:hint="eastAsia"/>
              <w:color w:val="EE0000"/>
            </w:rPr>
            <w:fldChar w:fldCharType="separate"/>
          </w:r>
        </w:p>
        <w:p w14:paraId="4DAADFEB">
          <w:pPr>
            <w:pStyle w:val="10"/>
            <w:tabs>
              <w:tab w:val="right" w:leader="dot" w:pos="9092"/>
            </w:tabs>
            <w:rPr>
              <w:rFonts w:hint="eastAsia" w:ascii="仿宋" w:hAnsi="仿宋" w:eastAsia="仿宋" w:cs="仿宋"/>
              <w:sz w:val="32"/>
              <w:szCs w:val="32"/>
            </w:rPr>
          </w:pPr>
          <w:r>
            <w:rPr>
              <w:rFonts w:hint="eastAsia" w:ascii="仿宋" w:hAnsi="仿宋" w:eastAsia="仿宋" w:cs="仿宋"/>
              <w:color w:val="EE0000"/>
              <w:sz w:val="32"/>
              <w:szCs w:val="32"/>
            </w:rPr>
            <w:fldChar w:fldCharType="begin"/>
          </w:r>
          <w:r>
            <w:rPr>
              <w:rFonts w:hint="eastAsia" w:ascii="仿宋" w:hAnsi="仿宋" w:eastAsia="仿宋" w:cs="仿宋"/>
              <w:sz w:val="32"/>
              <w:szCs w:val="32"/>
            </w:rPr>
            <w:instrText xml:space="preserve"> HYPERLINK \l _Toc20648 </w:instrText>
          </w:r>
          <w:r>
            <w:rPr>
              <w:rFonts w:hint="eastAsia" w:ascii="仿宋" w:hAnsi="仿宋" w:eastAsia="仿宋" w:cs="仿宋"/>
              <w:sz w:val="32"/>
              <w:szCs w:val="32"/>
            </w:rPr>
            <w:fldChar w:fldCharType="separate"/>
          </w:r>
          <w:r>
            <w:rPr>
              <w:rFonts w:hint="eastAsia" w:ascii="仿宋" w:hAnsi="仿宋" w:eastAsia="仿宋" w:cs="仿宋"/>
              <w:sz w:val="32"/>
              <w:szCs w:val="32"/>
            </w:rPr>
            <w:t>一、总则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_Toc20648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color w:val="EE0000"/>
              <w:sz w:val="32"/>
              <w:szCs w:val="32"/>
            </w:rPr>
            <w:fldChar w:fldCharType="end"/>
          </w:r>
        </w:p>
        <w:p w14:paraId="78A89EAE">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color w:val="EE0000"/>
              <w:sz w:val="32"/>
              <w:szCs w:val="32"/>
            </w:rPr>
            <w:fldChar w:fldCharType="begin"/>
          </w:r>
          <w:r>
            <w:rPr>
              <w:rFonts w:hint="eastAsia" w:ascii="仿宋" w:hAnsi="仿宋" w:eastAsia="仿宋" w:cs="仿宋"/>
              <w:sz w:val="32"/>
              <w:szCs w:val="32"/>
            </w:rPr>
            <w:instrText xml:space="preserve"> HYPERLINK \l _Toc4852 </w:instrText>
          </w:r>
          <w:r>
            <w:rPr>
              <w:rFonts w:hint="eastAsia" w:ascii="仿宋" w:hAnsi="仿宋" w:eastAsia="仿宋" w:cs="仿宋"/>
              <w:sz w:val="32"/>
              <w:szCs w:val="32"/>
            </w:rPr>
            <w:fldChar w:fldCharType="separate"/>
          </w:r>
          <w:r>
            <w:rPr>
              <w:rFonts w:hint="eastAsia" w:ascii="仿宋" w:hAnsi="仿宋" w:eastAsia="仿宋" w:cs="仿宋"/>
              <w:bCs w:val="0"/>
              <w:sz w:val="32"/>
              <w:szCs w:val="32"/>
              <w:lang w:eastAsia="zh-CN"/>
            </w:rPr>
            <w:t>（一）</w:t>
          </w:r>
          <w:r>
            <w:rPr>
              <w:rFonts w:hint="eastAsia" w:ascii="仿宋" w:hAnsi="仿宋" w:eastAsia="仿宋" w:cs="仿宋"/>
              <w:bCs w:val="0"/>
              <w:sz w:val="32"/>
              <w:szCs w:val="32"/>
            </w:rPr>
            <w:t>编制目的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_Toc4852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color w:val="EE0000"/>
              <w:sz w:val="32"/>
              <w:szCs w:val="32"/>
            </w:rPr>
            <w:fldChar w:fldCharType="end"/>
          </w:r>
        </w:p>
        <w:p w14:paraId="7DA9BA61">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color w:val="EE0000"/>
              <w:sz w:val="32"/>
              <w:szCs w:val="32"/>
            </w:rPr>
            <w:fldChar w:fldCharType="begin"/>
          </w:r>
          <w:r>
            <w:rPr>
              <w:rFonts w:hint="eastAsia" w:ascii="仿宋" w:hAnsi="仿宋" w:eastAsia="仿宋" w:cs="仿宋"/>
              <w:sz w:val="32"/>
              <w:szCs w:val="32"/>
            </w:rPr>
            <w:instrText xml:space="preserve"> HYPERLINK \l _Toc31895 </w:instrText>
          </w:r>
          <w:r>
            <w:rPr>
              <w:rFonts w:hint="eastAsia" w:ascii="仿宋" w:hAnsi="仿宋" w:eastAsia="仿宋" w:cs="仿宋"/>
              <w:sz w:val="32"/>
              <w:szCs w:val="32"/>
            </w:rPr>
            <w:fldChar w:fldCharType="separate"/>
          </w:r>
          <w:r>
            <w:rPr>
              <w:rFonts w:hint="eastAsia" w:ascii="仿宋" w:hAnsi="仿宋" w:eastAsia="仿宋" w:cs="仿宋"/>
              <w:bCs w:val="0"/>
              <w:sz w:val="32"/>
              <w:szCs w:val="32"/>
              <w:lang w:eastAsia="zh-CN"/>
            </w:rPr>
            <w:t>（二）编制依据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_Toc31895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color w:val="EE0000"/>
              <w:sz w:val="32"/>
              <w:szCs w:val="32"/>
            </w:rPr>
            <w:fldChar w:fldCharType="end"/>
          </w:r>
        </w:p>
        <w:p w14:paraId="23687F6D">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color w:val="EE0000"/>
              <w:sz w:val="32"/>
              <w:szCs w:val="32"/>
            </w:rPr>
            <w:fldChar w:fldCharType="begin"/>
          </w:r>
          <w:r>
            <w:rPr>
              <w:rFonts w:hint="eastAsia" w:ascii="仿宋" w:hAnsi="仿宋" w:eastAsia="仿宋" w:cs="仿宋"/>
              <w:sz w:val="32"/>
              <w:szCs w:val="32"/>
            </w:rPr>
            <w:instrText xml:space="preserve"> HYPERLINK \l _Toc17290 </w:instrText>
          </w:r>
          <w:r>
            <w:rPr>
              <w:rFonts w:hint="eastAsia" w:ascii="仿宋" w:hAnsi="仿宋" w:eastAsia="仿宋" w:cs="仿宋"/>
              <w:sz w:val="32"/>
              <w:szCs w:val="32"/>
            </w:rPr>
            <w:fldChar w:fldCharType="separate"/>
          </w:r>
          <w:r>
            <w:rPr>
              <w:rFonts w:hint="eastAsia" w:ascii="仿宋" w:hAnsi="仿宋" w:eastAsia="仿宋" w:cs="仿宋"/>
              <w:bCs w:val="0"/>
              <w:sz w:val="32"/>
              <w:szCs w:val="32"/>
              <w:lang w:val="zh-CN" w:eastAsia="zh-CN"/>
            </w:rPr>
            <w:t>（三）适用范围</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_Toc17290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color w:val="EE0000"/>
              <w:sz w:val="32"/>
              <w:szCs w:val="32"/>
            </w:rPr>
            <w:fldChar w:fldCharType="end"/>
          </w:r>
        </w:p>
        <w:p w14:paraId="48CB5000">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color w:val="EE0000"/>
              <w:sz w:val="32"/>
              <w:szCs w:val="32"/>
            </w:rPr>
            <w:fldChar w:fldCharType="begin"/>
          </w:r>
          <w:r>
            <w:rPr>
              <w:rFonts w:hint="eastAsia" w:ascii="仿宋" w:hAnsi="仿宋" w:eastAsia="仿宋" w:cs="仿宋"/>
              <w:sz w:val="32"/>
              <w:szCs w:val="32"/>
            </w:rPr>
            <w:instrText xml:space="preserve"> HYPERLINK \l _Toc25293 </w:instrText>
          </w:r>
          <w:r>
            <w:rPr>
              <w:rFonts w:hint="eastAsia" w:ascii="仿宋" w:hAnsi="仿宋" w:eastAsia="仿宋" w:cs="仿宋"/>
              <w:sz w:val="32"/>
              <w:szCs w:val="32"/>
            </w:rPr>
            <w:fldChar w:fldCharType="separate"/>
          </w:r>
          <w:r>
            <w:rPr>
              <w:rFonts w:hint="eastAsia" w:ascii="仿宋" w:hAnsi="仿宋" w:eastAsia="仿宋" w:cs="仿宋"/>
              <w:bCs w:val="0"/>
              <w:sz w:val="32"/>
              <w:szCs w:val="32"/>
              <w:lang w:val="zh-CN" w:eastAsia="zh-CN"/>
            </w:rPr>
            <w:t>（四）工作原则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_Toc25293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color w:val="EE0000"/>
              <w:sz w:val="32"/>
              <w:szCs w:val="32"/>
            </w:rPr>
            <w:fldChar w:fldCharType="end"/>
          </w:r>
        </w:p>
        <w:p w14:paraId="0E9895E1">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color w:val="EE0000"/>
              <w:sz w:val="32"/>
              <w:szCs w:val="32"/>
            </w:rPr>
            <w:fldChar w:fldCharType="begin"/>
          </w:r>
          <w:r>
            <w:rPr>
              <w:rFonts w:hint="eastAsia" w:ascii="仿宋" w:hAnsi="仿宋" w:eastAsia="仿宋" w:cs="仿宋"/>
              <w:sz w:val="32"/>
              <w:szCs w:val="32"/>
            </w:rPr>
            <w:instrText xml:space="preserve"> HYPERLINK \l _Toc27042 </w:instrText>
          </w:r>
          <w:r>
            <w:rPr>
              <w:rFonts w:hint="eastAsia" w:ascii="仿宋" w:hAnsi="仿宋" w:eastAsia="仿宋" w:cs="仿宋"/>
              <w:sz w:val="32"/>
              <w:szCs w:val="32"/>
            </w:rPr>
            <w:fldChar w:fldCharType="separate"/>
          </w:r>
          <w:r>
            <w:rPr>
              <w:rFonts w:hint="eastAsia" w:ascii="仿宋" w:hAnsi="仿宋" w:eastAsia="仿宋" w:cs="仿宋"/>
              <w:bCs w:val="0"/>
              <w:sz w:val="32"/>
              <w:szCs w:val="32"/>
              <w:lang w:val="zh-CN" w:eastAsia="zh-CN"/>
            </w:rPr>
            <w:t>（五）建筑工程事故分级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_Toc27042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color w:val="EE0000"/>
              <w:sz w:val="32"/>
              <w:szCs w:val="32"/>
            </w:rPr>
            <w:fldChar w:fldCharType="end"/>
          </w:r>
        </w:p>
        <w:p w14:paraId="147F3BE9">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color w:val="EE0000"/>
              <w:sz w:val="32"/>
              <w:szCs w:val="32"/>
            </w:rPr>
            <w:fldChar w:fldCharType="begin"/>
          </w:r>
          <w:r>
            <w:rPr>
              <w:rFonts w:hint="eastAsia" w:ascii="仿宋" w:hAnsi="仿宋" w:eastAsia="仿宋" w:cs="仿宋"/>
              <w:sz w:val="32"/>
              <w:szCs w:val="32"/>
            </w:rPr>
            <w:instrText xml:space="preserve"> HYPERLINK \l _Toc9336 </w:instrText>
          </w:r>
          <w:r>
            <w:rPr>
              <w:rFonts w:hint="eastAsia" w:ascii="仿宋" w:hAnsi="仿宋" w:eastAsia="仿宋" w:cs="仿宋"/>
              <w:sz w:val="32"/>
              <w:szCs w:val="32"/>
            </w:rPr>
            <w:fldChar w:fldCharType="separate"/>
          </w:r>
          <w:r>
            <w:rPr>
              <w:rFonts w:hint="eastAsia" w:ascii="仿宋" w:hAnsi="仿宋" w:eastAsia="仿宋" w:cs="仿宋"/>
              <w:bCs w:val="0"/>
              <w:sz w:val="32"/>
              <w:szCs w:val="32"/>
              <w:lang w:val="zh-CN" w:eastAsia="zh-CN"/>
            </w:rPr>
            <w:t>（六）预案启动条件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_Toc9336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color w:val="EE0000"/>
              <w:sz w:val="32"/>
              <w:szCs w:val="32"/>
            </w:rPr>
            <w:fldChar w:fldCharType="end"/>
          </w:r>
        </w:p>
        <w:p w14:paraId="635B267E">
          <w:pPr>
            <w:pStyle w:val="10"/>
            <w:tabs>
              <w:tab w:val="right" w:leader="dot" w:pos="9092"/>
            </w:tabs>
            <w:rPr>
              <w:rFonts w:hint="eastAsia" w:ascii="仿宋" w:hAnsi="仿宋" w:eastAsia="仿宋" w:cs="仿宋"/>
              <w:sz w:val="32"/>
              <w:szCs w:val="32"/>
            </w:rPr>
          </w:pPr>
          <w:r>
            <w:rPr>
              <w:rFonts w:hint="eastAsia" w:ascii="仿宋" w:hAnsi="仿宋" w:eastAsia="仿宋" w:cs="仿宋"/>
              <w:color w:val="EE0000"/>
              <w:sz w:val="32"/>
              <w:szCs w:val="32"/>
            </w:rPr>
            <w:fldChar w:fldCharType="begin"/>
          </w:r>
          <w:r>
            <w:rPr>
              <w:rFonts w:hint="eastAsia" w:ascii="仿宋" w:hAnsi="仿宋" w:eastAsia="仿宋" w:cs="仿宋"/>
              <w:sz w:val="32"/>
              <w:szCs w:val="32"/>
            </w:rPr>
            <w:instrText xml:space="preserve"> HYPERLINK \l _Toc20065 </w:instrText>
          </w:r>
          <w:r>
            <w:rPr>
              <w:rFonts w:hint="eastAsia" w:ascii="仿宋" w:hAnsi="仿宋" w:eastAsia="仿宋" w:cs="仿宋"/>
              <w:sz w:val="32"/>
              <w:szCs w:val="32"/>
            </w:rPr>
            <w:fldChar w:fldCharType="separate"/>
          </w:r>
          <w:r>
            <w:rPr>
              <w:rFonts w:hint="eastAsia" w:ascii="仿宋" w:hAnsi="仿宋" w:eastAsia="仿宋" w:cs="仿宋"/>
              <w:sz w:val="32"/>
              <w:szCs w:val="32"/>
            </w:rPr>
            <w:t>二、组织指挥机构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_Toc20065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color w:val="EE0000"/>
              <w:sz w:val="32"/>
              <w:szCs w:val="32"/>
            </w:rPr>
            <w:fldChar w:fldCharType="end"/>
          </w:r>
        </w:p>
        <w:p w14:paraId="1ACA7175">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_Toc10266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val="zh-CN" w:eastAsia="zh-CN"/>
            </w:rPr>
            <w:t>（一）指挥机构</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_Toc10266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4</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5F5C51B">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_Toc8328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val="zh-CN" w:eastAsia="zh-CN"/>
            </w:rPr>
            <w:t>（二）办事机构</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_Toc8328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7</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11222A5A">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_Toc17058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val="zh-CN" w:eastAsia="zh-CN"/>
            </w:rPr>
            <w:t>（三）工作机构</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_Toc17058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8</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576F0DA">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_Toc9623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专家组</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_Toc9623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10</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1844F8F0">
          <w:pPr>
            <w:pStyle w:val="10"/>
            <w:tabs>
              <w:tab w:val="right" w:leader="dot" w:pos="9092"/>
            </w:tabs>
            <w:rPr>
              <w:rFonts w:hint="eastAsia" w:ascii="仿宋" w:hAnsi="仿宋" w:eastAsia="仿宋" w:cs="仿宋"/>
              <w:sz w:val="32"/>
              <w:szCs w:val="32"/>
            </w:rPr>
          </w:pPr>
          <w:r>
            <w:rPr>
              <w:rFonts w:hint="eastAsia" w:ascii="仿宋" w:hAnsi="仿宋" w:eastAsia="仿宋" w:cs="仿宋"/>
              <w:color w:val="EE0000"/>
              <w:sz w:val="32"/>
              <w:szCs w:val="32"/>
            </w:rPr>
            <w:fldChar w:fldCharType="begin"/>
          </w:r>
          <w:r>
            <w:rPr>
              <w:rFonts w:hint="eastAsia" w:ascii="仿宋" w:hAnsi="仿宋" w:eastAsia="仿宋" w:cs="仿宋"/>
              <w:sz w:val="32"/>
              <w:szCs w:val="32"/>
            </w:rPr>
            <w:instrText xml:space="preserve"> HYPERLINK \l _Toc7837 </w:instrText>
          </w:r>
          <w:r>
            <w:rPr>
              <w:rFonts w:hint="eastAsia" w:ascii="仿宋" w:hAnsi="仿宋" w:eastAsia="仿宋" w:cs="仿宋"/>
              <w:sz w:val="32"/>
              <w:szCs w:val="32"/>
            </w:rPr>
            <w:fldChar w:fldCharType="separate"/>
          </w:r>
          <w:r>
            <w:rPr>
              <w:rFonts w:hint="eastAsia" w:ascii="仿宋" w:hAnsi="仿宋" w:eastAsia="仿宋" w:cs="仿宋"/>
              <w:sz w:val="32"/>
              <w:szCs w:val="32"/>
            </w:rPr>
            <w:t>三、监测预警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_Toc7837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color w:val="EE0000"/>
              <w:sz w:val="32"/>
              <w:szCs w:val="32"/>
            </w:rPr>
            <w:fldChar w:fldCharType="end"/>
          </w:r>
        </w:p>
        <w:p w14:paraId="436DA1C5">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_Toc5323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信息监测</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_Toc5323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11</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11A946B">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_Toc31150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预警</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_Toc31150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11</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6C3FA0E6">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_Toc29486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eastAsia="zh-CN"/>
            </w:rPr>
            <w:t>（三）预警级别及发布</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_Toc29486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12</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3033BF04">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_Toc21219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eastAsia="zh-CN"/>
            </w:rPr>
            <w:t>（四）预警响应措施</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_Toc21219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6D1AC1BF">
          <w:pPr>
            <w:pStyle w:val="10"/>
            <w:tabs>
              <w:tab w:val="right" w:leader="dot" w:pos="9092"/>
            </w:tabs>
            <w:rPr>
              <w:rFonts w:hint="eastAsia" w:ascii="仿宋" w:hAnsi="仿宋" w:eastAsia="仿宋" w:cs="仿宋"/>
              <w:sz w:val="32"/>
              <w:szCs w:val="32"/>
            </w:rPr>
          </w:pPr>
          <w:r>
            <w:rPr>
              <w:rFonts w:hint="eastAsia" w:ascii="仿宋" w:hAnsi="仿宋" w:eastAsia="仿宋" w:cs="仿宋"/>
              <w:color w:val="EE0000"/>
              <w:sz w:val="32"/>
              <w:szCs w:val="32"/>
            </w:rPr>
            <w:fldChar w:fldCharType="begin"/>
          </w:r>
          <w:r>
            <w:rPr>
              <w:rFonts w:hint="eastAsia" w:ascii="仿宋" w:hAnsi="仿宋" w:eastAsia="仿宋" w:cs="仿宋"/>
              <w:sz w:val="32"/>
              <w:szCs w:val="32"/>
            </w:rPr>
            <w:instrText xml:space="preserve"> HYPERLINK \l _Toc16665 </w:instrText>
          </w:r>
          <w:r>
            <w:rPr>
              <w:rFonts w:hint="eastAsia" w:ascii="仿宋" w:hAnsi="仿宋" w:eastAsia="仿宋" w:cs="仿宋"/>
              <w:sz w:val="32"/>
              <w:szCs w:val="32"/>
            </w:rPr>
            <w:fldChar w:fldCharType="separate"/>
          </w:r>
          <w:r>
            <w:rPr>
              <w:rFonts w:hint="eastAsia" w:ascii="仿宋" w:hAnsi="仿宋" w:eastAsia="仿宋" w:cs="仿宋"/>
              <w:sz w:val="32"/>
              <w:szCs w:val="32"/>
            </w:rPr>
            <w:t>四、信息报告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_Toc16665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color w:val="EE0000"/>
              <w:sz w:val="32"/>
              <w:szCs w:val="32"/>
            </w:rPr>
            <w:fldChar w:fldCharType="end"/>
          </w:r>
        </w:p>
        <w:p w14:paraId="267F33A3">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_Toc14504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报告时限及程序</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_Toc14504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14</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62F1F191">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_Toc3287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报告内容</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_Toc3287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14</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01AA3B0E">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_Toc7017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先期处置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_Toc7017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6B512873">
          <w:pPr>
            <w:pStyle w:val="10"/>
            <w:tabs>
              <w:tab w:val="right" w:leader="dot" w:pos="9092"/>
            </w:tabs>
            <w:rPr>
              <w:rFonts w:hint="eastAsia" w:ascii="仿宋" w:hAnsi="仿宋" w:eastAsia="仿宋" w:cs="仿宋"/>
              <w:sz w:val="32"/>
              <w:szCs w:val="32"/>
            </w:rPr>
          </w:pPr>
          <w:r>
            <w:rPr>
              <w:rFonts w:hint="eastAsia" w:ascii="仿宋" w:hAnsi="仿宋" w:eastAsia="仿宋" w:cs="仿宋"/>
              <w:color w:val="EE0000"/>
              <w:sz w:val="32"/>
              <w:szCs w:val="32"/>
            </w:rPr>
            <w:fldChar w:fldCharType="begin"/>
          </w:r>
          <w:r>
            <w:rPr>
              <w:rFonts w:hint="eastAsia" w:ascii="仿宋" w:hAnsi="仿宋" w:eastAsia="仿宋" w:cs="仿宋"/>
              <w:sz w:val="32"/>
              <w:szCs w:val="32"/>
            </w:rPr>
            <w:instrText xml:space="preserve"> HYPERLINK \l _Toc23367 </w:instrText>
          </w:r>
          <w:r>
            <w:rPr>
              <w:rFonts w:hint="eastAsia" w:ascii="仿宋" w:hAnsi="仿宋" w:eastAsia="仿宋" w:cs="仿宋"/>
              <w:sz w:val="32"/>
              <w:szCs w:val="32"/>
            </w:rPr>
            <w:fldChar w:fldCharType="separate"/>
          </w:r>
          <w:r>
            <w:rPr>
              <w:rFonts w:hint="eastAsia" w:ascii="仿宋" w:hAnsi="仿宋" w:eastAsia="仿宋" w:cs="仿宋"/>
              <w:sz w:val="32"/>
              <w:szCs w:val="32"/>
            </w:rPr>
            <w:t>五、组织自救互救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_Toc23367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color w:val="EE0000"/>
              <w:sz w:val="32"/>
              <w:szCs w:val="32"/>
            </w:rPr>
            <w:fldChar w:fldCharType="end"/>
          </w:r>
        </w:p>
        <w:p w14:paraId="7F6C5B0C">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_Toc29213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企业先期自救</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_Toc29213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16</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3B3BAB0">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_Toc7861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社会动员</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_Toc7861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16</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70889C61">
          <w:pPr>
            <w:pStyle w:val="10"/>
            <w:tabs>
              <w:tab w:val="right" w:leader="dot" w:pos="9092"/>
            </w:tabs>
            <w:rPr>
              <w:rFonts w:hint="eastAsia" w:ascii="仿宋" w:hAnsi="仿宋" w:eastAsia="仿宋" w:cs="仿宋"/>
              <w:sz w:val="32"/>
              <w:szCs w:val="32"/>
            </w:rPr>
          </w:pPr>
          <w:r>
            <w:rPr>
              <w:rFonts w:hint="eastAsia" w:ascii="仿宋" w:hAnsi="仿宋" w:eastAsia="仿宋" w:cs="仿宋"/>
              <w:color w:val="EE0000"/>
              <w:sz w:val="32"/>
              <w:szCs w:val="32"/>
            </w:rPr>
            <w:fldChar w:fldCharType="begin"/>
          </w:r>
          <w:r>
            <w:rPr>
              <w:rFonts w:hint="eastAsia" w:ascii="仿宋" w:hAnsi="仿宋" w:eastAsia="仿宋" w:cs="仿宋"/>
              <w:sz w:val="32"/>
              <w:szCs w:val="32"/>
            </w:rPr>
            <w:instrText xml:space="preserve"> HYPERLINK \l _Toc10323 </w:instrText>
          </w:r>
          <w:r>
            <w:rPr>
              <w:rFonts w:hint="eastAsia" w:ascii="仿宋" w:hAnsi="仿宋" w:eastAsia="仿宋" w:cs="仿宋"/>
              <w:sz w:val="32"/>
              <w:szCs w:val="32"/>
            </w:rPr>
            <w:fldChar w:fldCharType="separate"/>
          </w:r>
          <w:r>
            <w:rPr>
              <w:rFonts w:hint="eastAsia" w:ascii="仿宋" w:hAnsi="仿宋" w:eastAsia="仿宋" w:cs="仿宋"/>
              <w:sz w:val="32"/>
              <w:szCs w:val="32"/>
            </w:rPr>
            <w:t>六、应急处置措施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_Toc10323 \h </w:instrText>
          </w:r>
          <w:r>
            <w:rPr>
              <w:rFonts w:hint="eastAsia" w:ascii="仿宋" w:hAnsi="仿宋" w:eastAsia="仿宋" w:cs="仿宋"/>
              <w:sz w:val="32"/>
              <w:szCs w:val="32"/>
            </w:rPr>
            <w:fldChar w:fldCharType="separate"/>
          </w:r>
          <w:r>
            <w:rPr>
              <w:rFonts w:hint="eastAsia"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color w:val="EE0000"/>
              <w:sz w:val="32"/>
              <w:szCs w:val="32"/>
            </w:rPr>
            <w:fldChar w:fldCharType="end"/>
          </w:r>
        </w:p>
        <w:p w14:paraId="46D9F4B5">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_Toc30009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指挥与协调</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_Toc30009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16</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48669375">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_Toc18805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处置措施</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_Toc18805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18</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58C89EDE">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_Toc29540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响应升级</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_Toc29540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18</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1171F5D5">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_Toc15200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应急结束</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_Toc15200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18</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1DA9F90">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_Toc9475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善后处置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_Toc9475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19</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3A12A5EB">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_Toc10883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调查与总结</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_Toc10883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19</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16D3E735">
          <w:pPr>
            <w:pStyle w:val="10"/>
            <w:tabs>
              <w:tab w:val="right" w:leader="dot" w:pos="9092"/>
            </w:tabs>
            <w:rPr>
              <w:rFonts w:hint="eastAsia" w:ascii="仿宋" w:hAnsi="仿宋" w:eastAsia="仿宋" w:cs="仿宋"/>
              <w:sz w:val="32"/>
              <w:szCs w:val="32"/>
            </w:rPr>
          </w:pPr>
          <w:r>
            <w:rPr>
              <w:rFonts w:hint="eastAsia" w:ascii="仿宋" w:hAnsi="仿宋" w:eastAsia="仿宋" w:cs="仿宋"/>
              <w:color w:val="EE0000"/>
              <w:sz w:val="32"/>
              <w:szCs w:val="32"/>
            </w:rPr>
            <w:fldChar w:fldCharType="begin"/>
          </w:r>
          <w:r>
            <w:rPr>
              <w:rFonts w:hint="eastAsia" w:ascii="仿宋" w:hAnsi="仿宋" w:eastAsia="仿宋" w:cs="仿宋"/>
              <w:sz w:val="32"/>
              <w:szCs w:val="32"/>
            </w:rPr>
            <w:instrText xml:space="preserve"> HYPERLINK \l _Toc32058 </w:instrText>
          </w:r>
          <w:r>
            <w:rPr>
              <w:rFonts w:hint="eastAsia" w:ascii="仿宋" w:hAnsi="仿宋" w:eastAsia="仿宋" w:cs="仿宋"/>
              <w:sz w:val="32"/>
              <w:szCs w:val="32"/>
            </w:rPr>
            <w:fldChar w:fldCharType="separate"/>
          </w:r>
          <w:r>
            <w:rPr>
              <w:rFonts w:hint="eastAsia" w:ascii="仿宋" w:hAnsi="仿宋" w:eastAsia="仿宋" w:cs="仿宋"/>
              <w:sz w:val="32"/>
              <w:szCs w:val="32"/>
            </w:rPr>
            <w:t>七、现场管控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_Toc32058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color w:val="EE0000"/>
              <w:sz w:val="32"/>
              <w:szCs w:val="32"/>
            </w:rPr>
            <w:fldChar w:fldCharType="end"/>
          </w:r>
        </w:p>
        <w:p w14:paraId="24F9A493">
          <w:pPr>
            <w:pStyle w:val="10"/>
            <w:tabs>
              <w:tab w:val="right" w:leader="dot" w:pos="9092"/>
            </w:tabs>
            <w:rPr>
              <w:rFonts w:hint="eastAsia" w:ascii="仿宋" w:hAnsi="仿宋" w:eastAsia="仿宋" w:cs="仿宋"/>
              <w:sz w:val="32"/>
              <w:szCs w:val="32"/>
            </w:rPr>
          </w:pPr>
          <w:r>
            <w:rPr>
              <w:rFonts w:hint="eastAsia" w:ascii="仿宋" w:hAnsi="仿宋" w:eastAsia="仿宋" w:cs="仿宋"/>
              <w:color w:val="EE0000"/>
              <w:sz w:val="32"/>
              <w:szCs w:val="32"/>
            </w:rPr>
            <w:fldChar w:fldCharType="begin"/>
          </w:r>
          <w:r>
            <w:rPr>
              <w:rFonts w:hint="eastAsia" w:ascii="仿宋" w:hAnsi="仿宋" w:eastAsia="仿宋" w:cs="仿宋"/>
              <w:sz w:val="32"/>
              <w:szCs w:val="32"/>
            </w:rPr>
            <w:instrText xml:space="preserve"> HYPERLINK \l _Toc7198 </w:instrText>
          </w:r>
          <w:r>
            <w:rPr>
              <w:rFonts w:hint="eastAsia" w:ascii="仿宋" w:hAnsi="仿宋" w:eastAsia="仿宋" w:cs="仿宋"/>
              <w:sz w:val="32"/>
              <w:szCs w:val="32"/>
            </w:rPr>
            <w:fldChar w:fldCharType="separate"/>
          </w:r>
          <w:r>
            <w:rPr>
              <w:rFonts w:hint="eastAsia" w:ascii="仿宋" w:hAnsi="仿宋" w:eastAsia="仿宋" w:cs="仿宋"/>
              <w:sz w:val="32"/>
              <w:szCs w:val="32"/>
            </w:rPr>
            <w:t>八、应急资源保障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_Toc7198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color w:val="EE0000"/>
              <w:sz w:val="32"/>
              <w:szCs w:val="32"/>
            </w:rPr>
            <w:fldChar w:fldCharType="end"/>
          </w:r>
        </w:p>
        <w:p w14:paraId="2467FD95">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_Toc30797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人力资源保障</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_Toc30797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20</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2BBA912">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_Toc32603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经费保障</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_Toc32603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21</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582E6EDB">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_Toc1228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物资保障</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_Toc1228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21</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032C55B3">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_Toc7258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医疗卫生保障</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_Toc7258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22</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3D839BD9">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_Toc14076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交通运输保障</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_Toc14076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22</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1CF3635A">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_Toc30820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治安保障</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_Toc30820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22</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3E5710B6">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_Toc8372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通信和信息保障</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_Toc8372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D66BD76">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_Toc16603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eastAsia="zh-CN"/>
            </w:rPr>
            <w:t>（八）</w:t>
          </w:r>
          <w:r>
            <w:rPr>
              <w:rFonts w:hint="eastAsia" w:ascii="仿宋" w:hAnsi="仿宋" w:eastAsia="仿宋" w:cs="仿宋"/>
              <w:color w:val="auto"/>
              <w:sz w:val="32"/>
              <w:szCs w:val="32"/>
            </w:rPr>
            <w:t>现场救援和工程抢险装备保障</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_Toc16603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61DCFF50">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_Toc14607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val="zh-CN" w:eastAsia="zh-CN"/>
            </w:rPr>
            <w:t>（九）临时避</w:t>
          </w:r>
          <w:r>
            <w:rPr>
              <w:rFonts w:hint="eastAsia" w:ascii="仿宋" w:hAnsi="仿宋" w:eastAsia="仿宋" w:cs="仿宋"/>
              <w:color w:val="auto"/>
              <w:sz w:val="32"/>
              <w:szCs w:val="32"/>
              <w:lang w:val="en-US" w:eastAsia="zh-CN"/>
            </w:rPr>
            <w:t>难</w:t>
          </w:r>
          <w:r>
            <w:rPr>
              <w:rFonts w:hint="eastAsia" w:ascii="仿宋" w:hAnsi="仿宋" w:eastAsia="仿宋" w:cs="仿宋"/>
              <w:color w:val="auto"/>
              <w:sz w:val="32"/>
              <w:szCs w:val="32"/>
              <w:lang w:val="zh-CN" w:eastAsia="zh-CN"/>
            </w:rPr>
            <w:t>场所保障</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_Toc14607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BC208C5">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_Toc6830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val="zh-CN" w:eastAsia="zh-CN"/>
            </w:rPr>
            <w:t>（十）其他应急保障</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_Toc6830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7073F4E2">
          <w:pPr>
            <w:pStyle w:val="10"/>
            <w:tabs>
              <w:tab w:val="right" w:leader="dot" w:pos="9092"/>
            </w:tabs>
            <w:rPr>
              <w:rFonts w:hint="eastAsia" w:ascii="仿宋" w:hAnsi="仿宋" w:eastAsia="仿宋" w:cs="仿宋"/>
              <w:sz w:val="32"/>
              <w:szCs w:val="32"/>
            </w:rPr>
          </w:pPr>
          <w:r>
            <w:rPr>
              <w:rFonts w:hint="eastAsia" w:ascii="仿宋" w:hAnsi="仿宋" w:eastAsia="仿宋" w:cs="仿宋"/>
              <w:color w:val="EE0000"/>
              <w:sz w:val="32"/>
              <w:szCs w:val="32"/>
            </w:rPr>
            <w:fldChar w:fldCharType="begin"/>
          </w:r>
          <w:r>
            <w:rPr>
              <w:rFonts w:hint="eastAsia" w:ascii="仿宋" w:hAnsi="仿宋" w:eastAsia="仿宋" w:cs="仿宋"/>
              <w:sz w:val="32"/>
              <w:szCs w:val="32"/>
            </w:rPr>
            <w:instrText xml:space="preserve"> HYPERLINK \l _Toc23186 </w:instrText>
          </w:r>
          <w:r>
            <w:rPr>
              <w:rFonts w:hint="eastAsia" w:ascii="仿宋" w:hAnsi="仿宋" w:eastAsia="仿宋" w:cs="仿宋"/>
              <w:sz w:val="32"/>
              <w:szCs w:val="32"/>
            </w:rPr>
            <w:fldChar w:fldCharType="separate"/>
          </w:r>
          <w:r>
            <w:rPr>
              <w:rFonts w:hint="eastAsia" w:ascii="仿宋" w:hAnsi="仿宋" w:eastAsia="仿宋" w:cs="仿宋"/>
              <w:sz w:val="32"/>
              <w:szCs w:val="32"/>
            </w:rPr>
            <w:t>九、附则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_Toc23186 \h </w:instrText>
          </w:r>
          <w:r>
            <w:rPr>
              <w:rFonts w:hint="eastAsia" w:ascii="仿宋" w:hAnsi="仿宋" w:eastAsia="仿宋" w:cs="仿宋"/>
              <w:sz w:val="32"/>
              <w:szCs w:val="32"/>
            </w:rPr>
            <w:fldChar w:fldCharType="separate"/>
          </w:r>
          <w:r>
            <w:rPr>
              <w:rFonts w:hint="eastAsia" w:ascii="仿宋" w:hAnsi="仿宋" w:eastAsia="仿宋" w:cs="仿宋"/>
              <w:sz w:val="32"/>
              <w:szCs w:val="32"/>
            </w:rPr>
            <w:t>24</w:t>
          </w:r>
          <w:r>
            <w:rPr>
              <w:rFonts w:hint="eastAsia" w:ascii="仿宋" w:hAnsi="仿宋" w:eastAsia="仿宋" w:cs="仿宋"/>
              <w:sz w:val="32"/>
              <w:szCs w:val="32"/>
            </w:rPr>
            <w:fldChar w:fldCharType="end"/>
          </w:r>
          <w:r>
            <w:rPr>
              <w:rFonts w:hint="eastAsia" w:ascii="仿宋" w:hAnsi="仿宋" w:eastAsia="仿宋" w:cs="仿宋"/>
              <w:color w:val="EE0000"/>
              <w:sz w:val="32"/>
              <w:szCs w:val="32"/>
            </w:rPr>
            <w:fldChar w:fldCharType="end"/>
          </w:r>
        </w:p>
        <w:p w14:paraId="2B5762C5">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_Toc25168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val="zh-CN" w:eastAsia="zh-CN"/>
            </w:rPr>
            <w:t>（一）预案管理</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_Toc25168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24</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2439B20F">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_Toc21446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val="zh-CN" w:eastAsia="zh-CN"/>
            </w:rPr>
            <w:t>（二）责任与奖惩</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_Toc21446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0F8EE6E8">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_Toc2181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val="zh-CN" w:eastAsia="zh-CN"/>
            </w:rPr>
            <w:t>（三）预案解释</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_Toc2181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6BE105F7">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_Toc9553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val="zh-CN" w:eastAsia="zh-CN"/>
            </w:rPr>
            <w:t>（四）预案生效日期</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_Toc9553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6DE96D44">
          <w:pPr>
            <w:pStyle w:val="10"/>
            <w:tabs>
              <w:tab w:val="right" w:leader="dot" w:pos="9092"/>
            </w:tabs>
            <w:rPr>
              <w:rFonts w:hint="eastAsia" w:ascii="仿宋" w:hAnsi="仿宋" w:eastAsia="仿宋" w:cs="仿宋"/>
              <w:sz w:val="32"/>
              <w:szCs w:val="32"/>
            </w:rPr>
          </w:pPr>
          <w:r>
            <w:rPr>
              <w:rFonts w:hint="eastAsia" w:ascii="仿宋" w:hAnsi="仿宋" w:eastAsia="仿宋" w:cs="仿宋"/>
              <w:color w:val="EE0000"/>
              <w:sz w:val="32"/>
              <w:szCs w:val="32"/>
            </w:rPr>
            <w:fldChar w:fldCharType="begin"/>
          </w:r>
          <w:r>
            <w:rPr>
              <w:rFonts w:hint="eastAsia" w:ascii="仿宋" w:hAnsi="仿宋" w:eastAsia="仿宋" w:cs="仿宋"/>
              <w:sz w:val="32"/>
              <w:szCs w:val="32"/>
            </w:rPr>
            <w:instrText xml:space="preserve"> HYPERLINK \l _Toc23174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十、附件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_Toc23174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color w:val="EE0000"/>
              <w:sz w:val="32"/>
              <w:szCs w:val="32"/>
            </w:rPr>
            <w:fldChar w:fldCharType="end"/>
          </w:r>
        </w:p>
        <w:p w14:paraId="43E0B308">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_Toc8714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val="en-US" w:eastAsia="zh-CN"/>
            </w:rPr>
            <w:t xml:space="preserve">附件1 </w:t>
          </w:r>
          <w:r>
            <w:rPr>
              <w:rFonts w:hint="eastAsia" w:ascii="仿宋" w:hAnsi="仿宋" w:eastAsia="仿宋" w:cs="仿宋"/>
              <w:color w:val="auto"/>
              <w:sz w:val="32"/>
              <w:szCs w:val="32"/>
              <w:lang w:val="zh-CN" w:eastAsia="zh-CN"/>
            </w:rPr>
            <w:t>建筑工程抢险快报表</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_Toc8714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26</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5D08D810">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_Toc2220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val="en-US" w:eastAsia="zh-CN"/>
            </w:rPr>
            <w:t xml:space="preserve">附件2 </w:t>
          </w:r>
          <w:r>
            <w:rPr>
              <w:rFonts w:hint="eastAsia" w:ascii="仿宋" w:hAnsi="仿宋" w:eastAsia="仿宋" w:cs="仿宋"/>
              <w:color w:val="auto"/>
              <w:sz w:val="32"/>
              <w:szCs w:val="32"/>
              <w:lang w:val="zh-CN" w:eastAsia="zh-CN"/>
            </w:rPr>
            <w:t>建筑工程抢险信息发布审批表</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_Toc2220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27</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14:paraId="03D4368E">
          <w:pPr>
            <w:pStyle w:val="12"/>
            <w:keepNext w:val="0"/>
            <w:keepLines w:val="0"/>
            <w:pageBreakBefore w:val="0"/>
            <w:widowControl w:val="0"/>
            <w:tabs>
              <w:tab w:val="right" w:leader="dot" w:pos="9092"/>
            </w:tabs>
            <w:kinsoku/>
            <w:wordWrap/>
            <w:overflowPunct/>
            <w:topLinePunct w:val="0"/>
            <w:autoSpaceDE w:val="0"/>
            <w:autoSpaceDN w:val="0"/>
            <w:bidi w:val="0"/>
            <w:adjustRightInd w:val="0"/>
            <w:snapToGrid w:val="0"/>
            <w:spacing w:before="0" w:line="560" w:lineRule="exact"/>
            <w:ind w:left="0" w:firstLine="640" w:firstLineChars="200"/>
            <w:textAlignment w:val="auto"/>
            <w:rPr>
              <w:rFonts w:hint="eastAsia" w:ascii="仿宋" w:hAnsi="仿宋" w:eastAsia="仿宋" w:cs="仿宋"/>
              <w:color w:val="auto"/>
              <w:sz w:val="32"/>
              <w:szCs w:val="32"/>
            </w:rPr>
          </w:pPr>
        </w:p>
        <w:p w14:paraId="31E657E0">
          <w:pPr>
            <w:tabs>
              <w:tab w:val="left" w:pos="3905"/>
            </w:tabs>
            <w:jc w:val="center"/>
            <w:rPr>
              <w:rFonts w:hint="eastAsia"/>
              <w:color w:val="EE0000"/>
              <w:szCs w:val="32"/>
            </w:rPr>
          </w:pPr>
          <w:r>
            <w:rPr>
              <w:rFonts w:hint="eastAsia"/>
              <w:color w:val="EE0000"/>
            </w:rPr>
            <w:fldChar w:fldCharType="end"/>
          </w:r>
          <w:bookmarkStart w:id="0" w:name="_Toc19410"/>
          <w:bookmarkStart w:id="1" w:name="_Toc7677"/>
        </w:p>
      </w:sdtContent>
    </w:sdt>
    <w:p w14:paraId="6CC5FF18">
      <w:pPr>
        <w:pStyle w:val="2"/>
        <w:spacing w:before="22"/>
        <w:rPr>
          <w:rFonts w:hint="eastAsia"/>
          <w:szCs w:val="32"/>
        </w:rPr>
        <w:sectPr>
          <w:footerReference r:id="rId5" w:type="default"/>
          <w:pgSz w:w="11910" w:h="16840"/>
          <w:pgMar w:top="1582" w:right="1338" w:bottom="1321" w:left="1480" w:header="720" w:footer="720" w:gutter="0"/>
          <w:pgNumType w:fmt="decimal" w:start="1"/>
          <w:cols w:space="0" w:num="1"/>
        </w:sectPr>
      </w:pPr>
      <w:bookmarkStart w:id="2" w:name="_Toc2629"/>
    </w:p>
    <w:p w14:paraId="02D829F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b/>
          <w:snapToGrid w:val="0"/>
          <w:szCs w:val="32"/>
        </w:rPr>
      </w:pPr>
      <w:bookmarkStart w:id="3" w:name="_Toc20648"/>
      <w:r>
        <w:rPr>
          <w:snapToGrid w:val="0"/>
          <w:szCs w:val="32"/>
        </w:rPr>
        <w:t>一、总则</w:t>
      </w:r>
      <w:bookmarkEnd w:id="0"/>
      <w:bookmarkEnd w:id="1"/>
      <w:bookmarkEnd w:id="2"/>
      <w:bookmarkEnd w:id="3"/>
    </w:p>
    <w:p w14:paraId="39CDBD85">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rPr>
      </w:pPr>
      <w:bookmarkStart w:id="4" w:name="_Toc28764"/>
      <w:bookmarkStart w:id="5" w:name="_Toc26303"/>
      <w:bookmarkStart w:id="6" w:name="_Toc15513"/>
      <w:bookmarkStart w:id="7" w:name="_Toc4852"/>
      <w:r>
        <w:rPr>
          <w:rFonts w:hint="eastAsia" w:ascii="楷体" w:hAnsi="楷体" w:eastAsia="楷体" w:cs="楷体"/>
          <w:b w:val="0"/>
          <w:bCs w:val="0"/>
          <w:snapToGrid w:val="0"/>
          <w:sz w:val="32"/>
          <w:szCs w:val="32"/>
          <w:lang w:eastAsia="zh-CN"/>
        </w:rPr>
        <w:t>（一）</w:t>
      </w:r>
      <w:bookmarkStart w:id="8" w:name="(一)编制目的"/>
      <w:bookmarkEnd w:id="8"/>
      <w:r>
        <w:rPr>
          <w:rFonts w:hint="eastAsia" w:ascii="楷体" w:hAnsi="楷体" w:eastAsia="楷体" w:cs="楷体"/>
          <w:b w:val="0"/>
          <w:bCs w:val="0"/>
          <w:snapToGrid w:val="0"/>
          <w:sz w:val="32"/>
          <w:szCs w:val="32"/>
        </w:rPr>
        <w:t>编制目的</w:t>
      </w:r>
      <w:bookmarkEnd w:id="4"/>
      <w:bookmarkEnd w:id="5"/>
      <w:bookmarkEnd w:id="6"/>
      <w:bookmarkEnd w:id="7"/>
    </w:p>
    <w:p w14:paraId="24EC6F49">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为提高向阳区建筑工程质量安全事故救援的快速反应能力，确保科学、及时、有效地组织应对事故，最大限度地减少人员伤亡、财产损失及不良社会影响，维护社会正常秩序。保护我区建筑业从业人员在生产生活中的身体健康和生命安全，确保在出现安全事故时，能够及时进行应急救援，从而最大限度地降低安全事故给施工人员所造成的损失。结合工作实际，制定本预案。</w:t>
      </w:r>
    </w:p>
    <w:p w14:paraId="1D761771">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lang w:eastAsia="zh-CN"/>
        </w:rPr>
      </w:pPr>
      <w:bookmarkStart w:id="9" w:name="_Toc16147"/>
      <w:bookmarkStart w:id="10" w:name="_Toc31895"/>
      <w:bookmarkStart w:id="11" w:name="_Toc10673"/>
      <w:bookmarkStart w:id="12" w:name="_Toc29701"/>
      <w:r>
        <w:rPr>
          <w:rFonts w:hint="eastAsia" w:ascii="楷体" w:hAnsi="楷体" w:eastAsia="楷体" w:cs="楷体"/>
          <w:b w:val="0"/>
          <w:bCs w:val="0"/>
          <w:snapToGrid w:val="0"/>
          <w:sz w:val="32"/>
          <w:szCs w:val="32"/>
          <w:lang w:eastAsia="zh-CN"/>
        </w:rPr>
        <w:t>（二）</w:t>
      </w:r>
      <w:bookmarkStart w:id="13" w:name="(二)编制依据"/>
      <w:bookmarkEnd w:id="13"/>
      <w:r>
        <w:rPr>
          <w:rFonts w:hint="eastAsia" w:ascii="楷体" w:hAnsi="楷体" w:eastAsia="楷体" w:cs="楷体"/>
          <w:b w:val="0"/>
          <w:bCs w:val="0"/>
          <w:snapToGrid w:val="0"/>
          <w:sz w:val="32"/>
          <w:szCs w:val="32"/>
          <w:lang w:eastAsia="zh-CN"/>
        </w:rPr>
        <w:t>编制依据</w:t>
      </w:r>
      <w:bookmarkEnd w:id="9"/>
      <w:bookmarkEnd w:id="10"/>
      <w:bookmarkEnd w:id="11"/>
      <w:bookmarkEnd w:id="12"/>
    </w:p>
    <w:p w14:paraId="566E0E4F">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1.《中华人民共和国安全生产法》（主席令第88号）</w:t>
      </w:r>
    </w:p>
    <w:p w14:paraId="5727D8BF">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2.《中华人民共和国突发事件应对法》（主席令第25号）</w:t>
      </w:r>
    </w:p>
    <w:p w14:paraId="2EB2EE61">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3.《建设工程质量管理条例》（国务院令第714号）</w:t>
      </w:r>
    </w:p>
    <w:p w14:paraId="216FD4A9">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4.《生产安全事故应急条例》（国务院令第708号）</w:t>
      </w:r>
    </w:p>
    <w:p w14:paraId="5A3E0D91">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5.《建设工程安全生产管理条例》（国务院令第393号）</w:t>
      </w:r>
    </w:p>
    <w:p w14:paraId="199B5A08">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6.《生产安全事故报告和调查处理条例》（国务院令第493号）</w:t>
      </w:r>
    </w:p>
    <w:p w14:paraId="77D99D06">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7.《黑龙江省安全生产条例》（2022年8月26日黑龙江省第十三届人民代表大会常务委员会第三十五次会议修订）</w:t>
      </w:r>
    </w:p>
    <w:p w14:paraId="7269F141">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8.《佳木斯市向阳区突发事件总体应急预案》</w:t>
      </w:r>
    </w:p>
    <w:p w14:paraId="680D664C">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9.《佳木斯市向阳区生产安全事故应急预案》</w:t>
      </w:r>
      <w:bookmarkStart w:id="14" w:name="_Toc28347"/>
      <w:bookmarkStart w:id="15" w:name="_Toc22085"/>
      <w:bookmarkStart w:id="16" w:name="_Toc22714"/>
    </w:p>
    <w:p w14:paraId="29BB322A">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lang w:val="zh-CN" w:eastAsia="zh-CN"/>
        </w:rPr>
      </w:pPr>
      <w:bookmarkStart w:id="17" w:name="_Toc17290"/>
      <w:r>
        <w:rPr>
          <w:rFonts w:hint="eastAsia" w:ascii="楷体" w:hAnsi="楷体" w:eastAsia="楷体" w:cs="楷体"/>
          <w:b w:val="0"/>
          <w:bCs w:val="0"/>
          <w:snapToGrid w:val="0"/>
          <w:sz w:val="32"/>
          <w:szCs w:val="32"/>
          <w:lang w:val="zh-CN" w:eastAsia="zh-CN"/>
        </w:rPr>
        <w:t>（三）</w:t>
      </w:r>
      <w:bookmarkStart w:id="18" w:name="(三)适用范围"/>
      <w:bookmarkEnd w:id="18"/>
      <w:r>
        <w:rPr>
          <w:rFonts w:hint="eastAsia" w:ascii="楷体" w:hAnsi="楷体" w:eastAsia="楷体" w:cs="楷体"/>
          <w:b w:val="0"/>
          <w:bCs w:val="0"/>
          <w:snapToGrid w:val="0"/>
          <w:sz w:val="32"/>
          <w:szCs w:val="32"/>
          <w:lang w:val="zh-CN" w:eastAsia="zh-CN"/>
        </w:rPr>
        <w:t>适用范围</w:t>
      </w:r>
      <w:bookmarkEnd w:id="14"/>
      <w:bookmarkEnd w:id="15"/>
      <w:bookmarkEnd w:id="16"/>
      <w:bookmarkEnd w:id="17"/>
    </w:p>
    <w:p w14:paraId="0D802D75">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适用于向阳区房屋建筑和市政基础设施工程新建、扩建、改建、拆除活动中发生质量安全事故的应急处置工作。包括已建成房屋建筑和市政基础设施因工程质量、安全生产原因发生坍塌，造成或者可能造成人员伤亡，对周边生产生活和社会秩序造成严重威胁或导致重大经济损失的质量安全事故的应急处置工作。</w:t>
      </w:r>
    </w:p>
    <w:p w14:paraId="095C9DD3">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lang w:val="zh-CN" w:eastAsia="zh-CN"/>
        </w:rPr>
      </w:pPr>
      <w:bookmarkStart w:id="19" w:name="_Toc7811"/>
      <w:bookmarkStart w:id="20" w:name="_Toc1160"/>
      <w:bookmarkStart w:id="21" w:name="_Toc26401"/>
      <w:bookmarkStart w:id="22" w:name="_Toc25293"/>
      <w:r>
        <w:rPr>
          <w:rFonts w:hint="eastAsia" w:ascii="楷体" w:hAnsi="楷体" w:eastAsia="楷体" w:cs="楷体"/>
          <w:b w:val="0"/>
          <w:bCs w:val="0"/>
          <w:snapToGrid w:val="0"/>
          <w:sz w:val="32"/>
          <w:szCs w:val="32"/>
          <w:lang w:val="zh-CN" w:eastAsia="zh-CN"/>
        </w:rPr>
        <w:t>（四）工作原则</w:t>
      </w:r>
      <w:bookmarkEnd w:id="19"/>
      <w:bookmarkEnd w:id="20"/>
      <w:bookmarkEnd w:id="21"/>
      <w:bookmarkEnd w:id="22"/>
    </w:p>
    <w:p w14:paraId="411F6398">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snapToGrid w:val="0"/>
          <w:lang w:val="en-US" w:eastAsia="zh-CN"/>
        </w:rPr>
      </w:pPr>
      <w:r>
        <w:rPr>
          <w:rFonts w:hint="eastAsia" w:ascii="仿宋" w:hAnsi="仿宋" w:eastAsia="仿宋" w:cs="仿宋"/>
          <w:b/>
          <w:bCs/>
          <w:snapToGrid w:val="0"/>
          <w:lang w:val="en-US" w:eastAsia="zh-CN"/>
        </w:rPr>
        <w:t>1.坚持以人为本，安全第一的原则。</w:t>
      </w:r>
      <w:r>
        <w:rPr>
          <w:rFonts w:hint="eastAsia" w:ascii="仿宋" w:hAnsi="仿宋" w:eastAsia="仿宋" w:cs="仿宋"/>
          <w:snapToGrid w:val="0"/>
          <w:lang w:val="en-US" w:eastAsia="zh-CN"/>
        </w:rPr>
        <w:t>要将保障人民群众生命财产安全，最大限度地减少人员伤亡作为首要任务，不断完善和强化抢险手段，科学、迅速组织应急救援，把人员伤亡和危害降到最低限度；</w:t>
      </w:r>
    </w:p>
    <w:p w14:paraId="6C3CA40B">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snapToGrid w:val="0"/>
          <w:lang w:val="en-US" w:eastAsia="zh-CN"/>
        </w:rPr>
      </w:pPr>
      <w:r>
        <w:rPr>
          <w:rFonts w:hint="eastAsia" w:ascii="仿宋" w:hAnsi="仿宋" w:eastAsia="仿宋" w:cs="仿宋"/>
          <w:b/>
          <w:bCs/>
          <w:snapToGrid w:val="0"/>
          <w:lang w:val="en-US" w:eastAsia="zh-CN"/>
        </w:rPr>
        <w:t>2.坚持统一指挥、分级负责的原则。</w:t>
      </w:r>
      <w:r>
        <w:rPr>
          <w:rFonts w:hint="eastAsia" w:ascii="仿宋" w:hAnsi="仿宋" w:eastAsia="仿宋" w:cs="仿宋"/>
          <w:snapToGrid w:val="0"/>
          <w:lang w:val="en-US" w:eastAsia="zh-CN"/>
        </w:rPr>
        <w:t>坚持统一领导、分级管理、分工负责、协调一致，各成员单位在区建筑工程事故应急救援指挥部的统一领导下，各司其职，各负其责，通力协作，主动配合，协同</w:t>
      </w:r>
      <w:r>
        <w:rPr>
          <w:rFonts w:hint="eastAsia" w:ascii="仿宋" w:hAnsi="仿宋" w:eastAsia="仿宋" w:cs="仿宋"/>
          <w:snapToGrid w:val="0"/>
          <w:color w:val="auto"/>
          <w:lang w:val="en-US" w:eastAsia="zh-CN"/>
        </w:rPr>
        <w:t>各街道办事处、村屯，做好相关工作。施工企业要履行安全生产主体责任，建立和完善安全生产应急预案和应急救援</w:t>
      </w:r>
      <w:r>
        <w:rPr>
          <w:rFonts w:hint="eastAsia" w:ascii="仿宋" w:hAnsi="仿宋" w:eastAsia="仿宋" w:cs="仿宋"/>
          <w:snapToGrid w:val="0"/>
          <w:lang w:val="en-US" w:eastAsia="zh-CN"/>
        </w:rPr>
        <w:t>机制；</w:t>
      </w:r>
    </w:p>
    <w:p w14:paraId="6D6E346D">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snapToGrid w:val="0"/>
          <w:lang w:val="en-US" w:eastAsia="zh-CN"/>
        </w:rPr>
      </w:pPr>
      <w:r>
        <w:rPr>
          <w:rFonts w:hint="eastAsia" w:ascii="仿宋" w:hAnsi="仿宋" w:eastAsia="仿宋" w:cs="仿宋"/>
          <w:b/>
          <w:bCs/>
          <w:snapToGrid w:val="0"/>
          <w:lang w:val="en-US" w:eastAsia="zh-CN"/>
        </w:rPr>
        <w:t>3.坚持集中力量、协同应对的原则。</w:t>
      </w:r>
      <w:r>
        <w:rPr>
          <w:rFonts w:hint="eastAsia" w:ascii="仿宋" w:hAnsi="仿宋" w:eastAsia="仿宋" w:cs="仿宋"/>
          <w:snapToGrid w:val="0"/>
          <w:lang w:val="en-US" w:eastAsia="zh-CN"/>
        </w:rPr>
        <w:t>要根据事故类别和现场实况，依靠各级应急救援基地、骨干救援队伍和大型企业的应急救援队伍，动员社会各方力量共同参与。形成事故应急救援合力，采取切实可行的抢险救援安全措施，有效防止事故蔓延扩大；</w:t>
      </w:r>
    </w:p>
    <w:p w14:paraId="37DE324F">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snapToGrid w:val="0"/>
          <w:lang w:val="en-US" w:eastAsia="zh-CN"/>
        </w:rPr>
      </w:pPr>
      <w:r>
        <w:rPr>
          <w:rFonts w:hint="eastAsia" w:ascii="仿宋" w:hAnsi="仿宋" w:eastAsia="仿宋" w:cs="仿宋"/>
          <w:b/>
          <w:bCs/>
          <w:snapToGrid w:val="0"/>
          <w:lang w:val="en-US" w:eastAsia="zh-CN"/>
        </w:rPr>
        <w:t>4.坚持条块结合、属地为主的原则。</w:t>
      </w:r>
      <w:r>
        <w:rPr>
          <w:rFonts w:hint="eastAsia" w:ascii="仿宋" w:hAnsi="仿宋" w:eastAsia="仿宋" w:cs="仿宋"/>
          <w:snapToGrid w:val="0"/>
          <w:lang w:val="en-US" w:eastAsia="zh-CN"/>
        </w:rPr>
        <w:t>实行行政领导负责制。负责事故现场应急救援的指挥组织协调，充分依靠事发地公安、消防、交通、医疗等救援力量，积极开展辖区内发生的建筑工程事故救援工作；</w:t>
      </w:r>
    </w:p>
    <w:p w14:paraId="623CCC26">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snapToGrid w:val="0"/>
          <w:lang w:val="en-US" w:eastAsia="zh-CN"/>
        </w:rPr>
      </w:pPr>
      <w:r>
        <w:rPr>
          <w:rFonts w:hint="eastAsia" w:ascii="仿宋" w:hAnsi="仿宋" w:eastAsia="仿宋" w:cs="仿宋"/>
          <w:b/>
          <w:bCs/>
          <w:snapToGrid w:val="0"/>
          <w:lang w:val="en-US" w:eastAsia="zh-CN"/>
        </w:rPr>
        <w:t>5.坚持依靠科学、依法规范的原则。</w:t>
      </w:r>
      <w:r>
        <w:rPr>
          <w:rFonts w:hint="eastAsia" w:ascii="仿宋" w:hAnsi="仿宋" w:eastAsia="仿宋" w:cs="仿宋"/>
          <w:snapToGrid w:val="0"/>
          <w:lang w:val="en-US" w:eastAsia="zh-CN"/>
        </w:rPr>
        <w:t>充分发挥专家的作用，实现科学民主决策。依靠科技进步，不断改进和完善应急救援的装备、设施和手段，依法规范应急救援工作，确保预案的科学性、权威性和可操作性；</w:t>
      </w:r>
    </w:p>
    <w:p w14:paraId="5170CAA2">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snapToGrid w:val="0"/>
          <w:lang w:val="en-US" w:eastAsia="zh-CN"/>
        </w:rPr>
      </w:pPr>
      <w:r>
        <w:rPr>
          <w:rFonts w:hint="eastAsia" w:ascii="仿宋" w:hAnsi="仿宋" w:eastAsia="仿宋" w:cs="仿宋"/>
          <w:b/>
          <w:bCs/>
          <w:snapToGrid w:val="0"/>
          <w:lang w:val="en-US" w:eastAsia="zh-CN"/>
        </w:rPr>
        <w:t>6.坚持预防为主、平战结合的原则。</w:t>
      </w:r>
      <w:r>
        <w:rPr>
          <w:rFonts w:hint="eastAsia" w:ascii="仿宋" w:hAnsi="仿宋" w:eastAsia="仿宋" w:cs="仿宋"/>
          <w:snapToGrid w:val="0"/>
          <w:lang w:val="en-US" w:eastAsia="zh-CN"/>
        </w:rPr>
        <w:t>贯彻落实“安全第一，预防为主，综合治理”的方针，坚持事故灾难应急救援与平时预防相结合，着重做好常态下的安全隐患排查与整改、风险评估、物资储备、队伍建设、预案演练及事故灾难的预测、预警。</w:t>
      </w:r>
    </w:p>
    <w:p w14:paraId="6F1A9A37">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lang w:val="zh-CN" w:eastAsia="zh-CN"/>
        </w:rPr>
      </w:pPr>
      <w:bookmarkStart w:id="23" w:name="_Toc5324"/>
      <w:bookmarkStart w:id="24" w:name="_Toc27042"/>
      <w:bookmarkStart w:id="25" w:name="_Toc11786"/>
      <w:bookmarkStart w:id="26" w:name="_Toc10435"/>
      <w:r>
        <w:rPr>
          <w:rFonts w:hint="eastAsia" w:ascii="楷体" w:hAnsi="楷体" w:eastAsia="楷体" w:cs="楷体"/>
          <w:b w:val="0"/>
          <w:bCs w:val="0"/>
          <w:snapToGrid w:val="0"/>
          <w:sz w:val="32"/>
          <w:szCs w:val="32"/>
          <w:lang w:val="zh-CN" w:eastAsia="zh-CN"/>
        </w:rPr>
        <w:t>（五）建筑工程事故分级</w:t>
      </w:r>
      <w:bookmarkEnd w:id="23"/>
      <w:bookmarkEnd w:id="24"/>
      <w:bookmarkEnd w:id="25"/>
      <w:bookmarkEnd w:id="26"/>
    </w:p>
    <w:p w14:paraId="6A9B295D">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参照《生产安全事故报告和调查处理条例》第三条规定，按事故的性质、严重程度、可控性和影响范围等因素，建筑工程事故等级一般可分为特别重大（Ⅰ级）、重大（Ⅱ级）、较大（Ⅲ级）、一般（Ⅳ级）四个级别。</w:t>
      </w:r>
    </w:p>
    <w:p w14:paraId="5D8EB883">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1.特别重大建筑工程事故（Ⅰ级）</w:t>
      </w:r>
    </w:p>
    <w:p w14:paraId="474970BA">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符合下列条件之一的，为特别重大建筑工程事故：</w:t>
      </w:r>
    </w:p>
    <w:p w14:paraId="67766210">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（1）造成30人以上死亡（含失踪，下同）；</w:t>
      </w:r>
    </w:p>
    <w:p w14:paraId="439CFF7E">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（2）造成100人以上重伤（包括有害气体中毒，下同）；</w:t>
      </w:r>
    </w:p>
    <w:p w14:paraId="79024C07">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（3）造成1亿元以上直接经济损失。</w:t>
      </w:r>
    </w:p>
    <w:p w14:paraId="682B9EC7">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2.重大建筑工程事故（Ⅱ级）</w:t>
      </w:r>
    </w:p>
    <w:p w14:paraId="6C772A68">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符合下列条件之一的，为重大建筑工程事故：</w:t>
      </w:r>
    </w:p>
    <w:p w14:paraId="32A2CA1F">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（1）造成10人以上30人以下死亡；</w:t>
      </w:r>
    </w:p>
    <w:p w14:paraId="2A30E84C">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（2）造成50人以上100人以下重伤；</w:t>
      </w:r>
    </w:p>
    <w:p w14:paraId="314C67B4">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（3）造成5000万元以上1亿元以下直接经济损失。</w:t>
      </w:r>
    </w:p>
    <w:p w14:paraId="5B3331CA">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3.较大建筑工程事故（Ⅲ级）</w:t>
      </w:r>
    </w:p>
    <w:p w14:paraId="560A0493">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符合下列条件之一的，为较大建筑工程事故：</w:t>
      </w:r>
    </w:p>
    <w:p w14:paraId="595E4E59">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（1）造成3人以上10人以下死亡；</w:t>
      </w:r>
    </w:p>
    <w:p w14:paraId="11F08919">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（2）造成10人以上50人以下重伤；</w:t>
      </w:r>
    </w:p>
    <w:p w14:paraId="53C8329D">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（3）造成1000万元以上5000万元以下直接经济损失。</w:t>
      </w:r>
    </w:p>
    <w:p w14:paraId="424A8328">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4.一般建筑工程事故（Ⅳ级）</w:t>
      </w:r>
    </w:p>
    <w:p w14:paraId="3F96725E">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符合下列条件之一的，为一般建筑工程事故：</w:t>
      </w:r>
    </w:p>
    <w:p w14:paraId="09AE5C04">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（1）造成3人以下死亡；</w:t>
      </w:r>
    </w:p>
    <w:p w14:paraId="010CAD18">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（2）造成3人以上10人以下重伤；</w:t>
      </w:r>
    </w:p>
    <w:p w14:paraId="5E592891">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（3）造成100万元以上1000万元以下直接经济损失；</w:t>
      </w:r>
    </w:p>
    <w:p w14:paraId="1D761B05">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（4）已建成房屋建筑和区级市政基础设施因工程质量原因发生坍塌，造成一次死亡3人以下；重伤3人以上、10人以下或一次造成直接经济损失100万元以上、500万元以下的事故。</w:t>
      </w:r>
    </w:p>
    <w:p w14:paraId="56F753AD">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lang w:val="zh-CN" w:eastAsia="zh-CN"/>
        </w:rPr>
      </w:pPr>
      <w:bookmarkStart w:id="27" w:name="_Toc19429"/>
      <w:bookmarkStart w:id="28" w:name="_Toc9336"/>
      <w:bookmarkStart w:id="29" w:name="_Toc23061"/>
      <w:bookmarkStart w:id="30" w:name="_Toc20314"/>
      <w:r>
        <w:rPr>
          <w:rFonts w:hint="eastAsia" w:ascii="楷体" w:hAnsi="楷体" w:eastAsia="楷体" w:cs="楷体"/>
          <w:b w:val="0"/>
          <w:bCs w:val="0"/>
          <w:snapToGrid w:val="0"/>
          <w:sz w:val="32"/>
          <w:szCs w:val="32"/>
          <w:lang w:val="zh-CN" w:eastAsia="zh-CN"/>
        </w:rPr>
        <w:t>（六）</w:t>
      </w:r>
      <w:bookmarkStart w:id="31" w:name="(六)预案启动条件"/>
      <w:bookmarkEnd w:id="31"/>
      <w:r>
        <w:rPr>
          <w:rFonts w:hint="eastAsia" w:ascii="楷体" w:hAnsi="楷体" w:eastAsia="楷体" w:cs="楷体"/>
          <w:b w:val="0"/>
          <w:bCs w:val="0"/>
          <w:snapToGrid w:val="0"/>
          <w:sz w:val="32"/>
          <w:szCs w:val="32"/>
          <w:lang w:val="zh-CN" w:eastAsia="zh-CN"/>
        </w:rPr>
        <w:t>预案启动条件</w:t>
      </w:r>
      <w:bookmarkEnd w:id="27"/>
      <w:bookmarkEnd w:id="28"/>
      <w:bookmarkEnd w:id="29"/>
      <w:bookmarkEnd w:id="30"/>
    </w:p>
    <w:p w14:paraId="6951EAEA">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在建筑生产过程中发生如下事故，启动本预案：</w:t>
      </w:r>
    </w:p>
    <w:p w14:paraId="06ADEF66">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1.场区火灾；</w:t>
      </w:r>
    </w:p>
    <w:p w14:paraId="59C5CE1B">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2.深基坑开挖坍塌；</w:t>
      </w:r>
    </w:p>
    <w:p w14:paraId="1480C88A">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3.高支模支架坍塌；</w:t>
      </w:r>
    </w:p>
    <w:p w14:paraId="2B9A0ABC">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4.高耸设备设施倾倒；</w:t>
      </w:r>
    </w:p>
    <w:p w14:paraId="4F9A9567">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5.其他生产性质量安全事故；</w:t>
      </w:r>
    </w:p>
    <w:p w14:paraId="786278B7">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6.不可预见突发性事件；</w:t>
      </w:r>
    </w:p>
    <w:p w14:paraId="74BDFEB0">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7.区建筑工程事故应急救援指挥部认为必须启动应急预案的。</w:t>
      </w:r>
    </w:p>
    <w:p w14:paraId="37E089A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b/>
          <w:snapToGrid w:val="0"/>
          <w:sz w:val="35"/>
        </w:rPr>
      </w:pPr>
      <w:bookmarkStart w:id="32" w:name="_Toc5427"/>
      <w:bookmarkStart w:id="33" w:name="_Toc32703"/>
      <w:bookmarkStart w:id="34" w:name="_Toc4668"/>
      <w:bookmarkStart w:id="35" w:name="_Toc20065"/>
      <w:r>
        <w:rPr>
          <w:snapToGrid w:val="0"/>
        </w:rPr>
        <w:t>二、组织</w:t>
      </w:r>
      <w:bookmarkEnd w:id="32"/>
      <w:bookmarkEnd w:id="33"/>
      <w:bookmarkEnd w:id="34"/>
      <w:r>
        <w:rPr>
          <w:rFonts w:hint="eastAsia"/>
          <w:snapToGrid w:val="0"/>
        </w:rPr>
        <w:t>指挥机构</w:t>
      </w:r>
      <w:bookmarkEnd w:id="35"/>
    </w:p>
    <w:p w14:paraId="3C0E35F8">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lang w:val="zh-CN" w:eastAsia="zh-CN"/>
        </w:rPr>
      </w:pPr>
      <w:bookmarkStart w:id="36" w:name="_Toc19555"/>
      <w:bookmarkStart w:id="37" w:name="_Toc4215"/>
      <w:bookmarkStart w:id="38" w:name="_Toc10266"/>
      <w:bookmarkStart w:id="39" w:name="_Toc31869"/>
      <w:r>
        <w:rPr>
          <w:rFonts w:hint="eastAsia" w:ascii="楷体" w:hAnsi="楷体" w:eastAsia="楷体" w:cs="楷体"/>
          <w:b w:val="0"/>
          <w:bCs w:val="0"/>
          <w:snapToGrid w:val="0"/>
          <w:sz w:val="32"/>
          <w:szCs w:val="32"/>
          <w:lang w:val="zh-CN" w:eastAsia="zh-CN"/>
        </w:rPr>
        <w:t>（一）</w:t>
      </w:r>
      <w:bookmarkStart w:id="40" w:name="(一)指挥机构"/>
      <w:bookmarkEnd w:id="40"/>
      <w:r>
        <w:rPr>
          <w:rFonts w:hint="eastAsia" w:ascii="楷体" w:hAnsi="楷体" w:eastAsia="楷体" w:cs="楷体"/>
          <w:b w:val="0"/>
          <w:bCs w:val="0"/>
          <w:snapToGrid w:val="0"/>
          <w:sz w:val="32"/>
          <w:szCs w:val="32"/>
          <w:lang w:val="zh-CN" w:eastAsia="zh-CN"/>
        </w:rPr>
        <w:t>指挥机构</w:t>
      </w:r>
      <w:bookmarkEnd w:id="36"/>
      <w:bookmarkEnd w:id="37"/>
      <w:bookmarkEnd w:id="38"/>
      <w:bookmarkEnd w:id="39"/>
    </w:p>
    <w:p w14:paraId="08394490">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1.指挥机构组成</w:t>
      </w:r>
    </w:p>
    <w:p w14:paraId="470BCFB3">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为加强对建筑工程质量安全事故应急救援工作的领导，成立向阳区建筑工程事故应急救援指挥部（以下简称区应急指挥部）。</w:t>
      </w:r>
    </w:p>
    <w:p w14:paraId="04A10E14">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color w:val="auto"/>
          <w:lang w:val="en-US" w:eastAsia="zh-CN"/>
        </w:rPr>
      </w:pPr>
      <w:r>
        <w:rPr>
          <w:rFonts w:hint="eastAsia" w:ascii="仿宋" w:hAnsi="仿宋" w:eastAsia="仿宋" w:cs="仿宋"/>
          <w:snapToGrid w:val="0"/>
          <w:color w:val="auto"/>
          <w:lang w:val="en-US" w:eastAsia="zh-CN"/>
        </w:rPr>
        <w:t>总</w:t>
      </w:r>
      <w:r>
        <w:rPr>
          <w:rFonts w:hint="eastAsia" w:ascii="仿宋" w:hAnsi="仿宋" w:eastAsia="仿宋" w:cs="仿宋"/>
          <w:snapToGrid w:val="0"/>
          <w:color w:val="auto"/>
          <w:lang w:val="en-GB" w:eastAsia="zh-CN"/>
        </w:rPr>
        <w:t xml:space="preserve"> </w:t>
      </w:r>
      <w:r>
        <w:rPr>
          <w:rFonts w:hint="eastAsia" w:ascii="仿宋" w:hAnsi="仿宋" w:eastAsia="仿宋" w:cs="仿宋"/>
          <w:snapToGrid w:val="0"/>
          <w:color w:val="auto"/>
          <w:lang w:val="en-US" w:eastAsia="zh-CN"/>
        </w:rPr>
        <w:t>指</w:t>
      </w:r>
      <w:r>
        <w:rPr>
          <w:rFonts w:hint="eastAsia" w:ascii="仿宋" w:hAnsi="仿宋" w:eastAsia="仿宋" w:cs="仿宋"/>
          <w:snapToGrid w:val="0"/>
          <w:color w:val="auto"/>
          <w:lang w:val="en-GB" w:eastAsia="zh-CN"/>
        </w:rPr>
        <w:t xml:space="preserve"> </w:t>
      </w:r>
      <w:r>
        <w:rPr>
          <w:rFonts w:hint="eastAsia" w:ascii="仿宋" w:hAnsi="仿宋" w:eastAsia="仿宋" w:cs="仿宋"/>
          <w:snapToGrid w:val="0"/>
          <w:color w:val="auto"/>
          <w:lang w:val="en-US" w:eastAsia="zh-CN"/>
        </w:rPr>
        <w:t>挥：主管行业副区长</w:t>
      </w:r>
    </w:p>
    <w:p w14:paraId="08D68308">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color w:val="auto"/>
          <w:lang w:val="en-US" w:eastAsia="zh-CN"/>
        </w:rPr>
      </w:pPr>
      <w:r>
        <w:rPr>
          <w:rFonts w:hint="eastAsia" w:ascii="仿宋" w:hAnsi="仿宋" w:eastAsia="仿宋" w:cs="仿宋"/>
          <w:snapToGrid w:val="0"/>
          <w:color w:val="auto"/>
          <w:lang w:val="en-US" w:eastAsia="zh-CN"/>
        </w:rPr>
        <w:t>副总指挥：区住建局局长</w:t>
      </w:r>
    </w:p>
    <w:p w14:paraId="54B819F5">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color w:val="auto"/>
          <w:lang w:val="en-US" w:eastAsia="zh-CN"/>
        </w:rPr>
      </w:pPr>
      <w:r>
        <w:rPr>
          <w:rFonts w:hint="eastAsia" w:ascii="仿宋" w:hAnsi="仿宋" w:eastAsia="仿宋" w:cs="仿宋"/>
          <w:snapToGrid w:val="0"/>
          <w:color w:val="auto"/>
          <w:lang w:val="en-US" w:eastAsia="zh-CN"/>
        </w:rPr>
        <w:t>主要成员：区委宣传部</w:t>
      </w:r>
    </w:p>
    <w:p w14:paraId="0F1248BF">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lang w:val="en-US" w:eastAsia="zh-CN"/>
        </w:rPr>
      </w:pPr>
      <w:r>
        <w:rPr>
          <w:rFonts w:hint="eastAsia" w:ascii="仿宋" w:hAnsi="仿宋" w:eastAsia="仿宋" w:cs="仿宋"/>
          <w:snapToGrid w:val="0"/>
          <w:color w:val="auto"/>
          <w:lang w:val="en-US" w:eastAsia="zh-CN"/>
        </w:rPr>
        <w:t>区住建局</w:t>
      </w:r>
    </w:p>
    <w:p w14:paraId="4A91C47D">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lang w:val="en-US" w:eastAsia="zh-CN"/>
        </w:rPr>
      </w:pPr>
      <w:r>
        <w:rPr>
          <w:rFonts w:hint="eastAsia" w:ascii="仿宋" w:hAnsi="仿宋" w:eastAsia="仿宋" w:cs="仿宋"/>
          <w:snapToGrid w:val="0"/>
          <w:color w:val="auto"/>
          <w:lang w:val="en-US" w:eastAsia="zh-CN"/>
        </w:rPr>
        <w:t>区卫健局</w:t>
      </w:r>
    </w:p>
    <w:p w14:paraId="4B64FC35">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lang w:val="en-US" w:eastAsia="zh-CN"/>
        </w:rPr>
      </w:pPr>
      <w:r>
        <w:rPr>
          <w:rFonts w:hint="eastAsia" w:ascii="仿宋" w:hAnsi="仿宋" w:eastAsia="仿宋" w:cs="仿宋"/>
          <w:snapToGrid w:val="0"/>
          <w:color w:val="auto"/>
          <w:lang w:val="en-US" w:eastAsia="zh-CN"/>
        </w:rPr>
        <w:t>区财政局</w:t>
      </w:r>
    </w:p>
    <w:p w14:paraId="0FBC5BBC">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lang w:val="en-US" w:eastAsia="zh-CN"/>
        </w:rPr>
      </w:pPr>
      <w:r>
        <w:rPr>
          <w:rFonts w:hint="eastAsia" w:ascii="仿宋" w:hAnsi="仿宋" w:eastAsia="仿宋" w:cs="仿宋"/>
          <w:snapToGrid w:val="0"/>
          <w:color w:val="auto"/>
          <w:lang w:val="en-US" w:eastAsia="zh-CN"/>
        </w:rPr>
        <w:t>区应急局</w:t>
      </w:r>
    </w:p>
    <w:p w14:paraId="7CC46A82">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lang w:val="en-US" w:eastAsia="zh-CN"/>
        </w:rPr>
      </w:pPr>
      <w:r>
        <w:rPr>
          <w:rFonts w:hint="eastAsia" w:ascii="仿宋" w:hAnsi="仿宋" w:eastAsia="仿宋" w:cs="仿宋"/>
          <w:snapToGrid w:val="0"/>
          <w:color w:val="auto"/>
          <w:lang w:val="en-US" w:eastAsia="zh-CN"/>
        </w:rPr>
        <w:t>区市场局</w:t>
      </w:r>
    </w:p>
    <w:p w14:paraId="307ADB6E">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lang w:val="en-US" w:eastAsia="zh-CN"/>
        </w:rPr>
      </w:pPr>
      <w:r>
        <w:rPr>
          <w:rFonts w:hint="eastAsia" w:ascii="仿宋" w:hAnsi="仿宋" w:eastAsia="仿宋" w:cs="仿宋"/>
          <w:snapToGrid w:val="0"/>
          <w:color w:val="auto"/>
          <w:lang w:val="en-US" w:eastAsia="zh-CN"/>
        </w:rPr>
        <w:t>向阳公安分局</w:t>
      </w:r>
    </w:p>
    <w:p w14:paraId="66DCD016">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lang w:val="en-US" w:eastAsia="zh-CN"/>
        </w:rPr>
      </w:pPr>
      <w:r>
        <w:rPr>
          <w:rFonts w:hint="eastAsia" w:ascii="仿宋" w:hAnsi="仿宋" w:eastAsia="仿宋" w:cs="仿宋"/>
          <w:snapToGrid w:val="0"/>
          <w:color w:val="auto"/>
          <w:lang w:val="en-US" w:eastAsia="zh-CN"/>
        </w:rPr>
        <w:t>向阳交警大队</w:t>
      </w:r>
    </w:p>
    <w:p w14:paraId="192D38DF">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lang w:val="en-US" w:eastAsia="zh-CN"/>
        </w:rPr>
      </w:pPr>
      <w:r>
        <w:rPr>
          <w:rFonts w:hint="eastAsia" w:ascii="仿宋" w:hAnsi="仿宋" w:eastAsia="仿宋" w:cs="仿宋"/>
          <w:snapToGrid w:val="0"/>
          <w:color w:val="auto"/>
          <w:lang w:val="en-US" w:eastAsia="zh-CN"/>
        </w:rPr>
        <w:t>区消防救援大队</w:t>
      </w:r>
    </w:p>
    <w:p w14:paraId="4587019B">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lang w:val="en-US" w:eastAsia="zh-CN"/>
        </w:rPr>
      </w:pPr>
      <w:r>
        <w:rPr>
          <w:rFonts w:hint="eastAsia" w:ascii="仿宋" w:hAnsi="仿宋" w:eastAsia="仿宋" w:cs="仿宋"/>
          <w:snapToGrid w:val="0"/>
          <w:color w:val="auto"/>
          <w:lang w:val="en-US" w:eastAsia="zh-CN"/>
        </w:rPr>
        <w:t>区工信局</w:t>
      </w:r>
    </w:p>
    <w:p w14:paraId="3C096A20">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lang w:val="en-US" w:eastAsia="zh-CN"/>
        </w:rPr>
      </w:pPr>
      <w:r>
        <w:rPr>
          <w:rFonts w:hint="eastAsia" w:ascii="仿宋" w:hAnsi="仿宋" w:eastAsia="仿宋" w:cs="仿宋"/>
          <w:snapToGrid w:val="0"/>
          <w:color w:val="auto"/>
          <w:lang w:val="en-US" w:eastAsia="zh-CN"/>
        </w:rPr>
        <w:t>区教育局</w:t>
      </w:r>
    </w:p>
    <w:p w14:paraId="44B47CB8">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lang w:val="en-US" w:eastAsia="zh-CN"/>
        </w:rPr>
      </w:pPr>
      <w:r>
        <w:rPr>
          <w:rFonts w:hint="eastAsia" w:ascii="仿宋" w:hAnsi="仿宋" w:eastAsia="仿宋" w:cs="仿宋"/>
          <w:snapToGrid w:val="0"/>
          <w:color w:val="auto"/>
          <w:lang w:val="en-US" w:eastAsia="zh-CN"/>
        </w:rPr>
        <w:t>区水务局</w:t>
      </w:r>
    </w:p>
    <w:p w14:paraId="5640B49E">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lang w:val="en-US" w:eastAsia="zh-CN"/>
        </w:rPr>
      </w:pPr>
      <w:r>
        <w:rPr>
          <w:rFonts w:hint="eastAsia" w:ascii="仿宋" w:hAnsi="仿宋" w:eastAsia="仿宋" w:cs="仿宋"/>
          <w:snapToGrid w:val="0"/>
          <w:color w:val="auto"/>
          <w:lang w:val="en-US" w:eastAsia="zh-CN"/>
        </w:rPr>
        <w:t>区民政局</w:t>
      </w:r>
    </w:p>
    <w:p w14:paraId="32C34158">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lang w:val="en-US" w:eastAsia="zh-CN"/>
        </w:rPr>
      </w:pPr>
      <w:r>
        <w:rPr>
          <w:rFonts w:hint="eastAsia" w:ascii="仿宋" w:hAnsi="仿宋" w:eastAsia="仿宋" w:cs="仿宋"/>
          <w:snapToGrid w:val="0"/>
          <w:color w:val="auto"/>
          <w:lang w:val="en-US" w:eastAsia="zh-CN"/>
        </w:rPr>
        <w:t>区人社局</w:t>
      </w:r>
    </w:p>
    <w:p w14:paraId="19D5DADF">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lang w:val="en-US" w:eastAsia="zh-CN"/>
        </w:rPr>
      </w:pPr>
      <w:r>
        <w:rPr>
          <w:rFonts w:hint="eastAsia" w:ascii="仿宋" w:hAnsi="仿宋" w:eastAsia="仿宋" w:cs="仿宋"/>
          <w:snapToGrid w:val="0"/>
          <w:color w:val="auto"/>
          <w:lang w:val="en-US" w:eastAsia="zh-CN"/>
        </w:rPr>
        <w:t>区商务局</w:t>
      </w:r>
    </w:p>
    <w:p w14:paraId="09F20628">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lang w:val="en-US" w:eastAsia="zh-CN"/>
        </w:rPr>
      </w:pPr>
      <w:r>
        <w:rPr>
          <w:rFonts w:hint="eastAsia" w:ascii="仿宋" w:hAnsi="仿宋" w:eastAsia="仿宋" w:cs="仿宋"/>
          <w:snapToGrid w:val="0"/>
          <w:color w:val="auto"/>
          <w:lang w:val="en-US" w:eastAsia="zh-CN"/>
        </w:rPr>
        <w:t>区发改局</w:t>
      </w:r>
    </w:p>
    <w:p w14:paraId="4CFDB9DA">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lang w:val="en-US" w:eastAsia="zh-CN"/>
        </w:rPr>
      </w:pPr>
      <w:r>
        <w:rPr>
          <w:rFonts w:hint="eastAsia" w:ascii="仿宋" w:hAnsi="仿宋" w:eastAsia="仿宋" w:cs="仿宋"/>
          <w:snapToGrid w:val="0"/>
          <w:color w:val="auto"/>
          <w:lang w:val="en-US" w:eastAsia="zh-CN"/>
        </w:rPr>
        <w:t>区城管局</w:t>
      </w:r>
    </w:p>
    <w:p w14:paraId="117C4E04">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lang w:val="en-US" w:eastAsia="zh-CN"/>
        </w:rPr>
      </w:pPr>
      <w:r>
        <w:rPr>
          <w:rFonts w:hint="eastAsia" w:ascii="仿宋" w:hAnsi="仿宋" w:eastAsia="仿宋" w:cs="仿宋"/>
          <w:snapToGrid w:val="0"/>
          <w:color w:val="auto"/>
          <w:lang w:val="en-US" w:eastAsia="zh-CN"/>
        </w:rPr>
        <w:t>区退役局</w:t>
      </w:r>
    </w:p>
    <w:p w14:paraId="213CCA82">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lang w:val="en-US" w:eastAsia="zh-CN"/>
        </w:rPr>
      </w:pPr>
      <w:r>
        <w:rPr>
          <w:rFonts w:hint="eastAsia" w:ascii="仿宋" w:hAnsi="仿宋" w:eastAsia="仿宋" w:cs="仿宋"/>
          <w:snapToGrid w:val="0"/>
          <w:color w:val="auto"/>
          <w:lang w:val="en-US" w:eastAsia="zh-CN"/>
        </w:rPr>
        <w:t>区文旅局</w:t>
      </w:r>
    </w:p>
    <w:p w14:paraId="41D92843">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lang w:val="en-US" w:eastAsia="zh-CN"/>
        </w:rPr>
      </w:pPr>
      <w:r>
        <w:rPr>
          <w:rFonts w:hint="eastAsia" w:ascii="仿宋" w:hAnsi="仿宋" w:eastAsia="仿宋" w:cs="仿宋"/>
          <w:snapToGrid w:val="0"/>
          <w:color w:val="auto"/>
          <w:lang w:val="en-US" w:eastAsia="zh-CN"/>
        </w:rPr>
        <w:t>团区委</w:t>
      </w:r>
    </w:p>
    <w:p w14:paraId="0CD0341A">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lang w:val="en-US" w:eastAsia="zh-CN"/>
        </w:rPr>
      </w:pPr>
      <w:r>
        <w:rPr>
          <w:rFonts w:hint="eastAsia" w:ascii="仿宋" w:hAnsi="仿宋" w:eastAsia="仿宋" w:cs="仿宋"/>
          <w:snapToGrid w:val="0"/>
          <w:color w:val="auto"/>
          <w:lang w:val="en-US" w:eastAsia="zh-CN"/>
        </w:rPr>
        <w:t>区红十字会</w:t>
      </w:r>
    </w:p>
    <w:p w14:paraId="6DAD4203">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lang w:val="en-US" w:eastAsia="zh-CN"/>
        </w:rPr>
      </w:pPr>
      <w:r>
        <w:rPr>
          <w:rFonts w:hint="eastAsia" w:ascii="仿宋" w:hAnsi="仿宋" w:eastAsia="仿宋" w:cs="仿宋"/>
          <w:snapToGrid w:val="0"/>
          <w:color w:val="auto"/>
          <w:lang w:val="en-US" w:eastAsia="zh-CN"/>
        </w:rPr>
        <w:t>各街道办事处</w:t>
      </w:r>
    </w:p>
    <w:p w14:paraId="2CC12F38">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lang w:val="en-US" w:eastAsia="zh-CN"/>
        </w:rPr>
      </w:pPr>
      <w:r>
        <w:rPr>
          <w:rFonts w:hint="eastAsia" w:ascii="仿宋" w:hAnsi="仿宋" w:eastAsia="仿宋" w:cs="仿宋"/>
          <w:snapToGrid w:val="0"/>
          <w:color w:val="auto"/>
          <w:lang w:val="en-US" w:eastAsia="zh-CN"/>
        </w:rPr>
        <w:t>各村屯</w:t>
      </w:r>
    </w:p>
    <w:p w14:paraId="3E0D89F9">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color w:val="auto"/>
          <w:lang w:val="en-US" w:eastAsia="zh-CN"/>
        </w:rPr>
      </w:pPr>
      <w:r>
        <w:rPr>
          <w:rFonts w:hint="eastAsia" w:ascii="仿宋" w:hAnsi="仿宋" w:eastAsia="仿宋" w:cs="仿宋"/>
          <w:snapToGrid w:val="0"/>
          <w:color w:val="auto"/>
          <w:lang w:val="en-US" w:eastAsia="zh-CN"/>
        </w:rPr>
        <w:t>各成员单位、各相关企事业单位负责人以及事故发生单位主要负责人。</w:t>
      </w:r>
    </w:p>
    <w:p w14:paraId="2872FBBC">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2.职责</w:t>
      </w:r>
    </w:p>
    <w:p w14:paraId="5E3032D0">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（1）贯彻落实国家、省、市、区政府关于建筑工程质量安全的法律法规、政策、标准；</w:t>
      </w:r>
    </w:p>
    <w:p w14:paraId="7A1A3564">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zh-CN" w:eastAsia="zh-CN"/>
        </w:rPr>
      </w:pPr>
      <w:r>
        <w:rPr>
          <w:rFonts w:hint="eastAsia" w:ascii="仿宋" w:hAnsi="仿宋" w:eastAsia="仿宋" w:cs="仿宋"/>
          <w:snapToGrid w:val="0"/>
          <w:lang w:val="zh-CN" w:eastAsia="zh-CN"/>
        </w:rPr>
        <w:t>（</w:t>
      </w:r>
      <w:r>
        <w:rPr>
          <w:rFonts w:hint="eastAsia" w:ascii="仿宋" w:hAnsi="仿宋" w:eastAsia="仿宋" w:cs="仿宋"/>
          <w:snapToGrid w:val="0"/>
          <w:lang w:val="en-US" w:eastAsia="zh-CN"/>
        </w:rPr>
        <w:t>2</w:t>
      </w:r>
      <w:r>
        <w:rPr>
          <w:rFonts w:hint="eastAsia" w:ascii="仿宋" w:hAnsi="仿宋" w:eastAsia="仿宋" w:cs="仿宋"/>
          <w:snapToGrid w:val="0"/>
          <w:lang w:val="zh-CN" w:eastAsia="zh-CN"/>
        </w:rPr>
        <w:t>）负责区建筑工程质量安全事故应急救援预案的编制、修订和组织实施；</w:t>
      </w:r>
    </w:p>
    <w:p w14:paraId="5A7F49BE">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zh-CN" w:eastAsia="zh-CN"/>
        </w:rPr>
      </w:pPr>
      <w:r>
        <w:rPr>
          <w:rFonts w:hint="eastAsia" w:ascii="仿宋" w:hAnsi="仿宋" w:eastAsia="仿宋" w:cs="仿宋"/>
          <w:snapToGrid w:val="0"/>
          <w:lang w:val="zh-CN" w:eastAsia="zh-CN"/>
        </w:rPr>
        <w:t>（</w:t>
      </w:r>
      <w:r>
        <w:rPr>
          <w:rFonts w:hint="eastAsia" w:ascii="仿宋" w:hAnsi="仿宋" w:eastAsia="仿宋" w:cs="仿宋"/>
          <w:snapToGrid w:val="0"/>
          <w:lang w:val="en-US" w:eastAsia="zh-CN"/>
        </w:rPr>
        <w:t>3</w:t>
      </w:r>
      <w:r>
        <w:rPr>
          <w:rFonts w:hint="eastAsia" w:ascii="仿宋" w:hAnsi="仿宋" w:eastAsia="仿宋" w:cs="仿宋"/>
          <w:snapToGrid w:val="0"/>
          <w:lang w:val="zh-CN" w:eastAsia="zh-CN"/>
        </w:rPr>
        <w:t>）建筑工程质量安全事故发生后，负责建筑工程质量安全事故应急救援的组织、指挥、协调；</w:t>
      </w:r>
    </w:p>
    <w:p w14:paraId="603CE725">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zh-CN" w:eastAsia="zh-CN"/>
        </w:rPr>
      </w:pPr>
      <w:r>
        <w:rPr>
          <w:rFonts w:hint="eastAsia" w:ascii="仿宋" w:hAnsi="仿宋" w:eastAsia="仿宋" w:cs="仿宋"/>
          <w:snapToGrid w:val="0"/>
          <w:lang w:val="zh-CN" w:eastAsia="zh-CN"/>
        </w:rPr>
        <w:t>（</w:t>
      </w:r>
      <w:r>
        <w:rPr>
          <w:rFonts w:hint="eastAsia" w:ascii="仿宋" w:hAnsi="仿宋" w:eastAsia="仿宋" w:cs="仿宋"/>
          <w:snapToGrid w:val="0"/>
          <w:lang w:val="en-US" w:eastAsia="zh-CN"/>
        </w:rPr>
        <w:t>4</w:t>
      </w:r>
      <w:r>
        <w:rPr>
          <w:rFonts w:hint="eastAsia" w:ascii="仿宋" w:hAnsi="仿宋" w:eastAsia="仿宋" w:cs="仿宋"/>
          <w:snapToGrid w:val="0"/>
          <w:lang w:val="zh-CN" w:eastAsia="zh-CN"/>
        </w:rPr>
        <w:t>）及时向区安</w:t>
      </w:r>
      <w:r>
        <w:rPr>
          <w:rFonts w:hint="eastAsia" w:ascii="仿宋" w:hAnsi="仿宋" w:eastAsia="仿宋" w:cs="仿宋"/>
          <w:snapToGrid w:val="0"/>
          <w:lang w:val="en-US" w:eastAsia="zh-CN"/>
        </w:rPr>
        <w:t>防</w:t>
      </w:r>
      <w:r>
        <w:rPr>
          <w:rFonts w:hint="eastAsia" w:ascii="仿宋" w:hAnsi="仿宋" w:eastAsia="仿宋" w:cs="仿宋"/>
          <w:snapToGrid w:val="0"/>
          <w:lang w:val="zh-CN" w:eastAsia="zh-CN"/>
        </w:rPr>
        <w:t>委报告重要情况，提出救援、处置等方面的意见；</w:t>
      </w:r>
    </w:p>
    <w:p w14:paraId="1B7C7094">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zh-CN" w:eastAsia="zh-CN"/>
        </w:rPr>
      </w:pPr>
      <w:r>
        <w:rPr>
          <w:rFonts w:hint="eastAsia" w:ascii="仿宋" w:hAnsi="仿宋" w:eastAsia="仿宋" w:cs="仿宋"/>
          <w:snapToGrid w:val="0"/>
          <w:lang w:val="zh-CN" w:eastAsia="zh-CN"/>
        </w:rPr>
        <w:t>（</w:t>
      </w:r>
      <w:r>
        <w:rPr>
          <w:rFonts w:hint="eastAsia" w:ascii="仿宋" w:hAnsi="仿宋" w:eastAsia="仿宋" w:cs="仿宋"/>
          <w:snapToGrid w:val="0"/>
          <w:lang w:val="en-US" w:eastAsia="zh-CN"/>
        </w:rPr>
        <w:t>5</w:t>
      </w:r>
      <w:r>
        <w:rPr>
          <w:rFonts w:hint="eastAsia" w:ascii="仿宋" w:hAnsi="仿宋" w:eastAsia="仿宋" w:cs="仿宋"/>
          <w:snapToGrid w:val="0"/>
          <w:lang w:val="zh-CN" w:eastAsia="zh-CN"/>
        </w:rPr>
        <w:t>）负责做好建筑工程质量安全事故应急物资调拨，并检查落实情况；</w:t>
      </w:r>
    </w:p>
    <w:p w14:paraId="0FF79418">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zh-CN" w:eastAsia="zh-CN"/>
        </w:rPr>
      </w:pPr>
      <w:r>
        <w:rPr>
          <w:rFonts w:hint="eastAsia" w:ascii="仿宋" w:hAnsi="仿宋" w:eastAsia="仿宋" w:cs="仿宋"/>
          <w:snapToGrid w:val="0"/>
          <w:lang w:val="zh-CN" w:eastAsia="zh-CN"/>
        </w:rPr>
        <w:t>（</w:t>
      </w:r>
      <w:r>
        <w:rPr>
          <w:rFonts w:hint="eastAsia" w:ascii="仿宋" w:hAnsi="仿宋" w:eastAsia="仿宋" w:cs="仿宋"/>
          <w:snapToGrid w:val="0"/>
          <w:lang w:val="en-US" w:eastAsia="zh-CN"/>
        </w:rPr>
        <w:t>6</w:t>
      </w:r>
      <w:r>
        <w:rPr>
          <w:rFonts w:hint="eastAsia" w:ascii="仿宋" w:hAnsi="仿宋" w:eastAsia="仿宋" w:cs="仿宋"/>
          <w:snapToGrid w:val="0"/>
          <w:lang w:val="zh-CN" w:eastAsia="zh-CN"/>
        </w:rPr>
        <w:t>）负责督促区域内各建筑企业做好应急救援预案的编制、演练和应急抢险装备的保养维护工作；</w:t>
      </w:r>
    </w:p>
    <w:p w14:paraId="27F90448">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zh-CN" w:eastAsia="zh-CN"/>
        </w:rPr>
      </w:pPr>
      <w:r>
        <w:rPr>
          <w:rFonts w:hint="eastAsia" w:ascii="仿宋" w:hAnsi="仿宋" w:eastAsia="仿宋" w:cs="仿宋"/>
          <w:snapToGrid w:val="0"/>
          <w:lang w:val="zh-CN" w:eastAsia="zh-CN"/>
        </w:rPr>
        <w:t>（</w:t>
      </w:r>
      <w:r>
        <w:rPr>
          <w:rFonts w:hint="eastAsia" w:ascii="仿宋" w:hAnsi="仿宋" w:eastAsia="仿宋" w:cs="仿宋"/>
          <w:snapToGrid w:val="0"/>
          <w:lang w:val="en-US" w:eastAsia="zh-CN"/>
        </w:rPr>
        <w:t>7</w:t>
      </w:r>
      <w:r>
        <w:rPr>
          <w:rFonts w:hint="eastAsia" w:ascii="仿宋" w:hAnsi="仿宋" w:eastAsia="仿宋" w:cs="仿宋"/>
          <w:snapToGrid w:val="0"/>
          <w:lang w:val="zh-CN" w:eastAsia="zh-CN"/>
        </w:rPr>
        <w:t>）当区建筑工程质量安全事故超出本指挥部处置能力时，依程序及时向区安</w:t>
      </w:r>
      <w:r>
        <w:rPr>
          <w:rFonts w:hint="eastAsia" w:ascii="仿宋" w:hAnsi="仿宋" w:eastAsia="仿宋" w:cs="仿宋"/>
          <w:snapToGrid w:val="0"/>
          <w:lang w:val="en-US" w:eastAsia="zh-CN"/>
        </w:rPr>
        <w:t>防</w:t>
      </w:r>
      <w:r>
        <w:rPr>
          <w:rFonts w:hint="eastAsia" w:ascii="仿宋" w:hAnsi="仿宋" w:eastAsia="仿宋" w:cs="仿宋"/>
          <w:snapToGrid w:val="0"/>
          <w:lang w:val="zh-CN" w:eastAsia="zh-CN"/>
        </w:rPr>
        <w:t>委请示，并请求市建筑工程质量安全事故应急领导机构、救援机构的支援。</w:t>
      </w:r>
    </w:p>
    <w:p w14:paraId="17261467">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3.成员单位职责</w:t>
      </w:r>
    </w:p>
    <w:p w14:paraId="2AE96985">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snapToGrid w:val="0"/>
          <w:color w:val="auto"/>
          <w:lang w:val="en-US" w:eastAsia="zh-CN"/>
        </w:rPr>
      </w:pPr>
      <w:r>
        <w:rPr>
          <w:rFonts w:hint="eastAsia" w:ascii="仿宋" w:hAnsi="仿宋" w:eastAsia="仿宋" w:cs="仿宋"/>
          <w:b/>
          <w:bCs/>
          <w:snapToGrid w:val="0"/>
          <w:color w:val="auto"/>
          <w:lang w:val="en-US" w:eastAsia="zh-CN"/>
        </w:rPr>
        <w:t>（1）区委宣传部：</w:t>
      </w:r>
      <w:r>
        <w:rPr>
          <w:rFonts w:hint="eastAsia" w:ascii="仿宋" w:hAnsi="仿宋" w:eastAsia="仿宋" w:cs="仿宋"/>
          <w:snapToGrid w:val="0"/>
          <w:color w:val="auto"/>
          <w:lang w:val="en-US" w:eastAsia="zh-CN"/>
        </w:rPr>
        <w:t>根据应急指挥部安排，做好事故新闻报道、媒体记者组织、管理和引导工作；负责相关新闻稿件的审阅、批准。</w:t>
      </w:r>
    </w:p>
    <w:p w14:paraId="5781CC56">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snapToGrid w:val="0"/>
          <w:color w:val="auto"/>
          <w:lang w:val="en-US" w:eastAsia="zh-CN"/>
        </w:rPr>
      </w:pPr>
      <w:r>
        <w:rPr>
          <w:rFonts w:hint="eastAsia" w:ascii="仿宋" w:hAnsi="仿宋" w:eastAsia="仿宋" w:cs="仿宋"/>
          <w:b/>
          <w:bCs/>
          <w:snapToGrid w:val="0"/>
          <w:color w:val="auto"/>
          <w:lang w:val="en-US" w:eastAsia="zh-CN"/>
        </w:rPr>
        <w:t>（2）区住建局：</w:t>
      </w:r>
      <w:r>
        <w:rPr>
          <w:rFonts w:hint="eastAsia" w:ascii="仿宋" w:hAnsi="仿宋" w:eastAsia="仿宋" w:cs="仿宋"/>
          <w:snapToGrid w:val="0"/>
          <w:color w:val="auto"/>
          <w:lang w:val="en-US" w:eastAsia="zh-CN"/>
        </w:rPr>
        <w:t>负责建筑工程质量安全事故信息的接收、核实、处理、传递、通报、报告；配合市住房和城乡建设局做好事故调查处理等后续工作；组织提供施救所需的施工机械、救援器材等；协调市住房和城乡建设局对建筑工程质量安全事故应急处置提供技术支持和支援；调集交通运输单位救助机械和车辆，负责人员、物资、设备装备的运输保障工作。</w:t>
      </w:r>
    </w:p>
    <w:p w14:paraId="2988E1D9">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snapToGrid w:val="0"/>
          <w:color w:val="auto"/>
          <w:lang w:val="en-US" w:eastAsia="zh-CN"/>
        </w:rPr>
      </w:pPr>
      <w:r>
        <w:rPr>
          <w:rFonts w:hint="eastAsia" w:ascii="仿宋" w:hAnsi="仿宋" w:eastAsia="仿宋" w:cs="仿宋"/>
          <w:b/>
          <w:bCs/>
          <w:snapToGrid w:val="0"/>
          <w:color w:val="auto"/>
          <w:lang w:val="en-US" w:eastAsia="zh-CN"/>
        </w:rPr>
        <w:t>（3）区卫健局：</w:t>
      </w:r>
      <w:r>
        <w:rPr>
          <w:rFonts w:hint="eastAsia" w:ascii="仿宋" w:hAnsi="仿宋" w:eastAsia="仿宋" w:cs="仿宋"/>
          <w:snapToGrid w:val="0"/>
          <w:color w:val="auto"/>
          <w:lang w:val="en-US" w:eastAsia="zh-CN"/>
        </w:rPr>
        <w:t>负责做好医疗救治和卫生防疫工作。</w:t>
      </w:r>
    </w:p>
    <w:p w14:paraId="034D1D2C">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snapToGrid w:val="0"/>
          <w:color w:val="auto"/>
          <w:lang w:val="en-US" w:eastAsia="zh-CN"/>
        </w:rPr>
      </w:pPr>
      <w:r>
        <w:rPr>
          <w:rFonts w:hint="eastAsia" w:ascii="仿宋" w:hAnsi="仿宋" w:eastAsia="仿宋" w:cs="仿宋"/>
          <w:b/>
          <w:bCs/>
          <w:snapToGrid w:val="0"/>
          <w:color w:val="auto"/>
          <w:lang w:val="en-US" w:eastAsia="zh-CN"/>
        </w:rPr>
        <w:t>（4）区财政局：</w:t>
      </w:r>
      <w:r>
        <w:rPr>
          <w:rFonts w:hint="eastAsia" w:ascii="仿宋" w:hAnsi="仿宋" w:eastAsia="仿宋" w:cs="仿宋"/>
          <w:snapToGrid w:val="0"/>
          <w:color w:val="auto"/>
          <w:lang w:val="en-US" w:eastAsia="zh-CN"/>
        </w:rPr>
        <w:t>负责事故应急抢险救援资金保障和监管工作。</w:t>
      </w:r>
    </w:p>
    <w:p w14:paraId="79A188BC">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snapToGrid w:val="0"/>
          <w:color w:val="auto"/>
          <w:lang w:val="en-US" w:eastAsia="zh-CN"/>
        </w:rPr>
      </w:pPr>
      <w:r>
        <w:rPr>
          <w:rFonts w:hint="eastAsia" w:ascii="仿宋" w:hAnsi="仿宋" w:eastAsia="仿宋" w:cs="仿宋"/>
          <w:b/>
          <w:bCs/>
          <w:snapToGrid w:val="0"/>
          <w:color w:val="auto"/>
          <w:lang w:val="en-US" w:eastAsia="zh-CN"/>
        </w:rPr>
        <w:t>（5）区应急局：</w:t>
      </w:r>
      <w:r>
        <w:rPr>
          <w:rFonts w:hint="eastAsia" w:ascii="仿宋" w:hAnsi="仿宋" w:eastAsia="仿宋" w:cs="仿宋"/>
          <w:snapToGrid w:val="0"/>
          <w:color w:val="auto"/>
          <w:lang w:val="en-US" w:eastAsia="zh-CN"/>
        </w:rPr>
        <w:t>协调消防救援大队开展抢险救援；根据区政府授权，依法协同市、区住建局做好建筑工程质量安全事故的调查和处理。</w:t>
      </w:r>
    </w:p>
    <w:p w14:paraId="45078105">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snapToGrid w:val="0"/>
          <w:color w:val="auto"/>
          <w:lang w:val="en-US" w:eastAsia="zh-CN"/>
        </w:rPr>
      </w:pPr>
      <w:r>
        <w:rPr>
          <w:rFonts w:hint="eastAsia" w:ascii="仿宋" w:hAnsi="仿宋" w:eastAsia="仿宋" w:cs="仿宋"/>
          <w:b/>
          <w:bCs/>
          <w:snapToGrid w:val="0"/>
          <w:color w:val="auto"/>
          <w:lang w:val="en-US" w:eastAsia="zh-CN"/>
        </w:rPr>
        <w:t>（6）区市场局：</w:t>
      </w:r>
      <w:r>
        <w:rPr>
          <w:rFonts w:hint="eastAsia" w:ascii="仿宋" w:hAnsi="仿宋" w:eastAsia="仿宋" w:cs="仿宋"/>
          <w:snapToGrid w:val="0"/>
          <w:color w:val="auto"/>
          <w:lang w:val="en-US" w:eastAsia="zh-CN"/>
        </w:rPr>
        <w:t>负责与市市场局协调，参与工程建设过程中特种设备事故应急救援工作、提供技术支持。</w:t>
      </w:r>
    </w:p>
    <w:p w14:paraId="4BED65DF">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snapToGrid w:val="0"/>
          <w:color w:val="auto"/>
          <w:lang w:val="en-US" w:eastAsia="zh-CN"/>
        </w:rPr>
      </w:pPr>
      <w:r>
        <w:rPr>
          <w:rFonts w:hint="eastAsia" w:ascii="仿宋" w:hAnsi="仿宋" w:eastAsia="仿宋" w:cs="仿宋"/>
          <w:b/>
          <w:bCs/>
          <w:snapToGrid w:val="0"/>
          <w:color w:val="auto"/>
          <w:lang w:val="en-US" w:eastAsia="zh-CN"/>
        </w:rPr>
        <w:t>（7）向阳公安分局：</w:t>
      </w:r>
      <w:r>
        <w:rPr>
          <w:rFonts w:hint="eastAsia" w:ascii="仿宋" w:hAnsi="仿宋" w:eastAsia="仿宋" w:cs="仿宋"/>
          <w:snapToGrid w:val="0"/>
          <w:color w:val="auto"/>
          <w:lang w:val="en-US" w:eastAsia="zh-CN"/>
        </w:rPr>
        <w:t>负责事故现场警戒、治安管理；参与事故现场应急抢险救援工作，确认现场应急救援及遇难人员身份。</w:t>
      </w:r>
    </w:p>
    <w:p w14:paraId="6D69F9AB">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snapToGrid w:val="0"/>
          <w:color w:val="auto"/>
          <w:lang w:val="en-US" w:eastAsia="zh-CN"/>
        </w:rPr>
      </w:pPr>
      <w:r>
        <w:rPr>
          <w:rFonts w:hint="eastAsia" w:ascii="仿宋" w:hAnsi="仿宋" w:eastAsia="仿宋" w:cs="仿宋"/>
          <w:b/>
          <w:bCs/>
          <w:snapToGrid w:val="0"/>
          <w:color w:val="auto"/>
          <w:lang w:val="en-US" w:eastAsia="zh-CN"/>
        </w:rPr>
        <w:t>（8）向阳交警大队：</w:t>
      </w:r>
      <w:r>
        <w:rPr>
          <w:rFonts w:hint="eastAsia" w:ascii="仿宋" w:hAnsi="仿宋" w:eastAsia="仿宋" w:cs="仿宋"/>
          <w:snapToGrid w:val="0"/>
          <w:color w:val="auto"/>
          <w:lang w:val="en-US" w:eastAsia="zh-CN"/>
        </w:rPr>
        <w:t>负责及时组织力量封闭保护现场，迅速疏导交通，必要时实行交通管制，保证抢险救灾工作顺利进行。</w:t>
      </w:r>
    </w:p>
    <w:p w14:paraId="159C1746">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snapToGrid w:val="0"/>
          <w:color w:val="auto"/>
          <w:lang w:val="en-US" w:eastAsia="zh-CN"/>
        </w:rPr>
      </w:pPr>
      <w:r>
        <w:rPr>
          <w:rFonts w:hint="eastAsia" w:ascii="仿宋" w:hAnsi="仿宋" w:eastAsia="仿宋" w:cs="仿宋"/>
          <w:b/>
          <w:bCs/>
          <w:snapToGrid w:val="0"/>
          <w:color w:val="auto"/>
          <w:lang w:val="en-US" w:eastAsia="zh-CN"/>
        </w:rPr>
        <w:t>（9）区消防救援大队：</w:t>
      </w:r>
      <w:r>
        <w:rPr>
          <w:rFonts w:hint="eastAsia" w:ascii="仿宋" w:hAnsi="仿宋" w:eastAsia="仿宋" w:cs="仿宋"/>
          <w:snapToGrid w:val="0"/>
          <w:color w:val="auto"/>
          <w:lang w:val="en-US" w:eastAsia="zh-CN"/>
        </w:rPr>
        <w:t>做好人员疏散和转移，对压埋人员进行施救；对已经发生或可能引发的火灾、水灾、爆炸及剧毒和强腐蚀性物质泄漏等次生灾害开展抢险救援。</w:t>
      </w:r>
    </w:p>
    <w:p w14:paraId="20359F8A">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napToGrid w:val="0"/>
          <w:color w:val="auto"/>
          <w:lang w:val="en-US" w:eastAsia="zh-CN"/>
        </w:rPr>
      </w:pPr>
      <w:r>
        <w:rPr>
          <w:rFonts w:hint="eastAsia" w:ascii="仿宋" w:hAnsi="仿宋" w:eastAsia="仿宋" w:cs="仿宋"/>
          <w:b/>
          <w:bCs/>
          <w:snapToGrid w:val="0"/>
          <w:color w:val="auto"/>
          <w:lang w:val="en-US" w:eastAsia="zh-CN"/>
        </w:rPr>
        <w:t>（10）事故所在地街道办事处/村屯。</w:t>
      </w:r>
      <w:r>
        <w:rPr>
          <w:rFonts w:hint="eastAsia" w:ascii="仿宋" w:hAnsi="仿宋" w:eastAsia="仿宋" w:cs="仿宋"/>
          <w:b w:val="0"/>
          <w:bCs w:val="0"/>
          <w:snapToGrid w:val="0"/>
          <w:color w:val="auto"/>
          <w:lang w:val="en-US" w:eastAsia="zh-CN"/>
        </w:rPr>
        <w:t>负责组织人员参与事故救援，负责协助现场治安管理。负责救援人员生活保障。</w:t>
      </w:r>
    </w:p>
    <w:p w14:paraId="44363312">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_GB2312" w:hAnsi="仿宋_GB2312" w:eastAsia="仿宋_GB2312" w:cs="仿宋_GB2312"/>
          <w:b w:val="0"/>
          <w:bCs w:val="0"/>
          <w:snapToGrid w:val="0"/>
          <w:color w:val="auto"/>
          <w:lang w:val="en-US" w:eastAsia="zh-CN"/>
        </w:rPr>
      </w:pPr>
      <w:r>
        <w:rPr>
          <w:rFonts w:hint="eastAsia" w:ascii="仿宋" w:hAnsi="仿宋" w:eastAsia="仿宋" w:cs="仿宋"/>
          <w:b/>
          <w:bCs/>
          <w:snapToGrid w:val="0"/>
          <w:color w:val="auto"/>
          <w:lang w:val="en-US" w:eastAsia="zh-CN"/>
        </w:rPr>
        <w:t>（11）其他单位：</w:t>
      </w:r>
      <w:r>
        <w:rPr>
          <w:rFonts w:hint="eastAsia" w:ascii="仿宋" w:hAnsi="仿宋" w:eastAsia="仿宋" w:cs="仿宋"/>
          <w:b w:val="0"/>
          <w:bCs w:val="0"/>
          <w:snapToGrid w:val="0"/>
          <w:color w:val="auto"/>
          <w:lang w:val="en-US" w:eastAsia="zh-CN"/>
        </w:rPr>
        <w:t>按照应急指挥部的要求参加应急救援。</w:t>
      </w:r>
      <w:bookmarkStart w:id="41" w:name="(二)办事机构"/>
      <w:bookmarkEnd w:id="41"/>
      <w:bookmarkStart w:id="42" w:name="_Toc15500"/>
      <w:bookmarkStart w:id="43" w:name="_Toc11020"/>
      <w:bookmarkStart w:id="44" w:name="_Toc9637"/>
    </w:p>
    <w:p w14:paraId="6E520D62">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lang w:val="zh-CN" w:eastAsia="zh-CN"/>
        </w:rPr>
      </w:pPr>
      <w:bookmarkStart w:id="45" w:name="_Toc8328"/>
      <w:r>
        <w:rPr>
          <w:rFonts w:hint="eastAsia" w:ascii="楷体" w:hAnsi="楷体" w:eastAsia="楷体" w:cs="楷体"/>
          <w:b w:val="0"/>
          <w:bCs w:val="0"/>
          <w:snapToGrid w:val="0"/>
          <w:sz w:val="32"/>
          <w:szCs w:val="32"/>
          <w:lang w:val="zh-CN" w:eastAsia="zh-CN"/>
        </w:rPr>
        <w:t>（二）办事机构</w:t>
      </w:r>
      <w:bookmarkEnd w:id="42"/>
      <w:bookmarkEnd w:id="43"/>
      <w:bookmarkEnd w:id="44"/>
      <w:bookmarkEnd w:id="45"/>
    </w:p>
    <w:p w14:paraId="5CD84C41">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区应急指挥部下设办公室，作为常设机构，设在区住建局，处理应急指挥部日常工作。</w:t>
      </w:r>
    </w:p>
    <w:p w14:paraId="70F249EE">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主任：区住建局局长（兼任）</w:t>
      </w:r>
    </w:p>
    <w:p w14:paraId="1A0B1404">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工作人员：区住房和城乡建设局相关业务科室人员</w:t>
      </w:r>
    </w:p>
    <w:p w14:paraId="360BAE4D">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职责：</w:t>
      </w:r>
    </w:p>
    <w:p w14:paraId="792A996F">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（1）负责执行应急指挥部的决定和指示，组织协调各成员单位开展建筑工程质量安全事故应急救援保障工作；</w:t>
      </w:r>
    </w:p>
    <w:p w14:paraId="724D32E1">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（2）负责应急救援相关信息收集、整理、报送工作；</w:t>
      </w:r>
    </w:p>
    <w:p w14:paraId="16A5CFD0">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（3）负责建筑工程质量安全事故应急救援预案的修订和评估工作；</w:t>
      </w:r>
    </w:p>
    <w:p w14:paraId="72220B97">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（4）负责组织、指导建筑施工企业做好建筑工程质量安全事故应急预案的编制、修订和评估工作；</w:t>
      </w:r>
    </w:p>
    <w:p w14:paraId="1F23A66E">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（5）负责协调组织相关成员单位做好事故的现场调查、等级确定、损失评估、灾情上报等工作。</w:t>
      </w:r>
    </w:p>
    <w:p w14:paraId="35B48621">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lang w:val="zh-CN" w:eastAsia="zh-CN"/>
        </w:rPr>
      </w:pPr>
      <w:bookmarkStart w:id="46" w:name="_Toc1356"/>
      <w:bookmarkStart w:id="47" w:name="_Toc32195"/>
      <w:bookmarkStart w:id="48" w:name="_Toc17058"/>
      <w:bookmarkStart w:id="49" w:name="_Toc27308"/>
      <w:r>
        <w:rPr>
          <w:rFonts w:hint="eastAsia" w:ascii="楷体" w:hAnsi="楷体" w:eastAsia="楷体" w:cs="楷体"/>
          <w:b w:val="0"/>
          <w:bCs w:val="0"/>
          <w:snapToGrid w:val="0"/>
          <w:sz w:val="32"/>
          <w:szCs w:val="32"/>
          <w:lang w:val="zh-CN" w:eastAsia="zh-CN"/>
        </w:rPr>
        <w:t>（三）</w:t>
      </w:r>
      <w:bookmarkStart w:id="50" w:name="(三)工作机构"/>
      <w:bookmarkEnd w:id="50"/>
      <w:r>
        <w:rPr>
          <w:rFonts w:hint="eastAsia" w:ascii="楷体" w:hAnsi="楷体" w:eastAsia="楷体" w:cs="楷体"/>
          <w:b w:val="0"/>
          <w:bCs w:val="0"/>
          <w:snapToGrid w:val="0"/>
          <w:sz w:val="32"/>
          <w:szCs w:val="32"/>
          <w:lang w:val="zh-CN" w:eastAsia="zh-CN"/>
        </w:rPr>
        <w:t>工作机构</w:t>
      </w:r>
      <w:bookmarkEnd w:id="46"/>
      <w:bookmarkEnd w:id="47"/>
      <w:bookmarkEnd w:id="48"/>
      <w:bookmarkEnd w:id="49"/>
    </w:p>
    <w:p w14:paraId="698A745B">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区应急指挥部下设七个专项工作组，由各成员单位组成。应急指挥部办公室负责事故救援过程中救援队伍和救援物资的协调：</w:t>
      </w:r>
    </w:p>
    <w:p w14:paraId="7F9EB520">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（1）抢险救援组</w:t>
      </w:r>
    </w:p>
    <w:p w14:paraId="06978650">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由区住建局牵头，与区消防救援大队、区应急局、区城管局、事故发生企业等部门组成。</w:t>
      </w:r>
    </w:p>
    <w:p w14:paraId="7E085DEF">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职责：负责建筑工程安全事故紧急处置，分析事故发生原因，确定抢险方案、调集抢险救援设备物资，确定监控范围，保护事故现场，配合调查取证；负责抢救遇险人员和财产物资、对灾害体尚存危害部分采取紧急防护措施。</w:t>
      </w:r>
    </w:p>
    <w:p w14:paraId="2208A6D7">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（2）医疗救护组</w:t>
      </w:r>
    </w:p>
    <w:p w14:paraId="40F55A40">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由区卫健局牵头，与区内医疗卫生机构、事故发生企业等部门组成。</w:t>
      </w:r>
    </w:p>
    <w:p w14:paraId="1F94226B">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职责：按照相关医疗救护应急预案的要求，负责组织医疗救护队伍实施现场紧急医疗救护；负责应急处置工作中的现场急救和病人转运工作、受伤人员救治。</w:t>
      </w:r>
    </w:p>
    <w:p w14:paraId="10F91C32">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（3）安全保卫组</w:t>
      </w:r>
    </w:p>
    <w:p w14:paraId="3FBB5BEB">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由向阳公安分局牵头，与向阳交警大队组成。</w:t>
      </w:r>
    </w:p>
    <w:p w14:paraId="11C2113A">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职责：负责对现场进行警戒和治安管理；负责事故现场的交通管制，并根据需要在现场周围设立警戒或警示标志；及时疏散与抢险救援无关人员及周边居民；负责维护治安秩序、打击违法犯罪活动；加强对重点区域、重要设施和重要物资，特别是应急救援物资和装备的警卫及防范保护；保证受灾企业和附近居民的安全。</w:t>
      </w:r>
    </w:p>
    <w:p w14:paraId="5D1BA327">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（4）交通运输保障组</w:t>
      </w:r>
    </w:p>
    <w:p w14:paraId="084EFB25">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由区城管局牵头，与向阳交警大队、事故企业共同组成。</w:t>
      </w:r>
    </w:p>
    <w:p w14:paraId="5905641A">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职责：按照事故救援实际和指挥部的要求；负责保证交通畅通，组织救灾车辆，保证抢险救援人员、物资的运送。</w:t>
      </w:r>
    </w:p>
    <w:p w14:paraId="3EDE12FC">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（5）后勤保障组</w:t>
      </w:r>
    </w:p>
    <w:p w14:paraId="688B29B5">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由区住建局牵头，与区财政局、涉事单位组成。</w:t>
      </w:r>
    </w:p>
    <w:p w14:paraId="3DCBEEA1">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职责：区住建局及时掌握突发建筑工程事故事态进展情况，并向相关主管部门通报；区财政局负责应急专项准备资金和应急储备资金管理，确保突发事件处置工作顺利进行；协调相关应急资源参与突发建筑工程事故处置工作；涉事单位负责提供事故现场相关资料，负责救援人员生活保障。</w:t>
      </w:r>
    </w:p>
    <w:p w14:paraId="538E6337">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（6）宣传报道组</w:t>
      </w:r>
    </w:p>
    <w:p w14:paraId="18810ED2">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由区委宣传部牵头，与区文旅局等相关部门组成。</w:t>
      </w:r>
    </w:p>
    <w:p w14:paraId="2A225FF6">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职责：区委宣传部要派人到现场指挥部工作，负责对现场媒体活动的管理、协调和指导；事故发生的第一时间要向社会发布简要信息，随后发布初步核实情况及政府应对措施和公众防范措施等，并根据事故处置情况做好后续发布和报道工作。</w:t>
      </w:r>
    </w:p>
    <w:p w14:paraId="03C839C3">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（7）事故调查评估组</w:t>
      </w:r>
    </w:p>
    <w:p w14:paraId="335C95B4">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由应急指挥部牵头，依照国务院《生产安全事故报告和调查处理条例》指定有关单位及专家组组成。</w:t>
      </w:r>
    </w:p>
    <w:p w14:paraId="01E7E626">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职责：负责按相关法规查明事故发生的经过、原因、人员伤亡情况及直接经济损失；认定事故的性质和事故责任；提出对事故责任者的处理建议；总结事故教训，提出防范和整改措施；提交事故调查报告；监督落实责任追究制度。总结事故处置工作的经验教训，制定改进措施，评估事件损失。</w:t>
      </w:r>
    </w:p>
    <w:p w14:paraId="3874E56B">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rPr>
      </w:pPr>
      <w:bookmarkStart w:id="51" w:name="_Toc2356"/>
      <w:bookmarkStart w:id="52" w:name="_Toc9623"/>
      <w:bookmarkStart w:id="53" w:name="_Toc19247"/>
      <w:bookmarkStart w:id="54" w:name="_Toc12625"/>
      <w:r>
        <w:rPr>
          <w:rFonts w:hint="eastAsia" w:ascii="楷体" w:hAnsi="楷体" w:eastAsia="楷体" w:cs="楷体"/>
          <w:b w:val="0"/>
          <w:bCs w:val="0"/>
          <w:snapToGrid w:val="0"/>
          <w:sz w:val="32"/>
          <w:szCs w:val="32"/>
          <w:lang w:eastAsia="zh-CN"/>
        </w:rPr>
        <w:t>（四）</w:t>
      </w:r>
      <w:bookmarkStart w:id="55" w:name="(四)专家组"/>
      <w:bookmarkEnd w:id="55"/>
      <w:r>
        <w:rPr>
          <w:rFonts w:hint="eastAsia" w:ascii="楷体" w:hAnsi="楷体" w:eastAsia="楷体" w:cs="楷体"/>
          <w:b w:val="0"/>
          <w:bCs w:val="0"/>
          <w:snapToGrid w:val="0"/>
          <w:sz w:val="32"/>
          <w:szCs w:val="32"/>
        </w:rPr>
        <w:t>专家组</w:t>
      </w:r>
      <w:bookmarkEnd w:id="51"/>
      <w:bookmarkEnd w:id="52"/>
      <w:bookmarkEnd w:id="53"/>
      <w:bookmarkEnd w:id="54"/>
    </w:p>
    <w:p w14:paraId="77921AC1">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区应急指挥部办公室协调市建筑工程质量安全事故应急领导机构派出工程岩土、建筑结构、建筑机械、建筑电气等方面专家组成建筑工程质量安全事故应急处置专家组，必要时组织卫生防疫、环境保护等行业领域的专家参加，由区应急指挥部统一调度。</w:t>
      </w:r>
    </w:p>
    <w:p w14:paraId="3B1949A3">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lang w:val="en-US" w:eastAsia="zh-CN"/>
        </w:rPr>
      </w:pPr>
      <w:r>
        <w:rPr>
          <w:rFonts w:hint="eastAsia" w:ascii="仿宋" w:hAnsi="仿宋" w:eastAsia="仿宋" w:cs="仿宋"/>
          <w:snapToGrid w:val="0"/>
          <w:lang w:val="en-US" w:eastAsia="zh-CN"/>
        </w:rPr>
        <w:t>职责：参加质量安全事故的应急处置工作；分析事故信息和灾害情况，对事故的发生和发展趋势、处置方法、救援措施、灾害损失、恢复方案等进行研究、评估，并提出相关建议；向区安防委和应急指挥部提供科学而有效的决策建议；在事故发生后最短时间内赶赴现场，协助指挥部及抢险组、安全保卫组等制定事故抢险救援、人员和周边居民疏散避险具体方案和具体措施。</w:t>
      </w:r>
    </w:p>
    <w:p w14:paraId="542ABED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b/>
          <w:snapToGrid w:val="0"/>
          <w:sz w:val="32"/>
          <w:szCs w:val="32"/>
        </w:rPr>
      </w:pPr>
      <w:bookmarkStart w:id="56" w:name="_Toc11536"/>
      <w:bookmarkStart w:id="57" w:name="_Toc29157"/>
      <w:bookmarkStart w:id="58" w:name="_Toc10316"/>
      <w:bookmarkStart w:id="59" w:name="_Toc7837"/>
      <w:r>
        <w:rPr>
          <w:snapToGrid w:val="0"/>
          <w:sz w:val="32"/>
          <w:szCs w:val="32"/>
        </w:rPr>
        <w:t>三、</w:t>
      </w:r>
      <w:bookmarkEnd w:id="56"/>
      <w:bookmarkEnd w:id="57"/>
      <w:bookmarkEnd w:id="58"/>
      <w:r>
        <w:rPr>
          <w:rFonts w:hint="eastAsia"/>
          <w:snapToGrid w:val="0"/>
          <w:sz w:val="32"/>
          <w:szCs w:val="32"/>
        </w:rPr>
        <w:t>监测预警</w:t>
      </w:r>
      <w:bookmarkEnd w:id="59"/>
    </w:p>
    <w:p w14:paraId="06E91D86">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rPr>
      </w:pPr>
      <w:bookmarkStart w:id="60" w:name="_Toc16021"/>
      <w:bookmarkStart w:id="61" w:name="_Toc5282"/>
      <w:bookmarkStart w:id="62" w:name="_Toc12688"/>
      <w:bookmarkStart w:id="63" w:name="_Toc5323"/>
      <w:r>
        <w:rPr>
          <w:rFonts w:hint="eastAsia" w:ascii="楷体" w:hAnsi="楷体" w:eastAsia="楷体" w:cs="楷体"/>
          <w:b w:val="0"/>
          <w:bCs w:val="0"/>
          <w:snapToGrid w:val="0"/>
          <w:sz w:val="32"/>
          <w:szCs w:val="32"/>
          <w:lang w:eastAsia="zh-CN"/>
        </w:rPr>
        <w:t>（一）</w:t>
      </w:r>
      <w:r>
        <w:rPr>
          <w:rFonts w:hint="eastAsia" w:ascii="楷体" w:hAnsi="楷体" w:eastAsia="楷体" w:cs="楷体"/>
          <w:b w:val="0"/>
          <w:bCs w:val="0"/>
          <w:snapToGrid w:val="0"/>
          <w:sz w:val="32"/>
          <w:szCs w:val="32"/>
        </w:rPr>
        <w:t>信息监测</w:t>
      </w:r>
      <w:bookmarkEnd w:id="60"/>
      <w:bookmarkEnd w:id="61"/>
      <w:bookmarkEnd w:id="62"/>
      <w:bookmarkEnd w:id="63"/>
    </w:p>
    <w:p w14:paraId="381E4D1C">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1.各施工工程项目负责人为预警信息员，负责相应工程预警信息的收集和汇报。区住建局统一负责全区建筑工程事故信息的接收、报告、初步处理和统计分析；</w:t>
      </w:r>
    </w:p>
    <w:p w14:paraId="7D81042F">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2.建立重大危险源、重大隐患普查、登记、评估和管理制度，及时分析重点监控信息并跟踪整改情况；</w:t>
      </w:r>
    </w:p>
    <w:p w14:paraId="598A772F">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3.区住建局掌握辖区内的建筑工程分布、灾害、重大危险源等基本状况，建立辖区内建筑工程基本情况和重大危险源数据库，同时上报指挥部备案；</w:t>
      </w:r>
    </w:p>
    <w:p w14:paraId="300B2682">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建筑企业要加强职工安全教育和培训，增强安全意识，进行定期检查和巡回检查，发现隐患立即采取措施进行及时整改。制订事故应急处理预案，配备充足、必要的应急救援器材和工具，每年至少进行1次应急预案演练。</w:t>
      </w:r>
    </w:p>
    <w:p w14:paraId="36D11A4D">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5.建筑企业、所在地街道办事处（村屯）、区住建局在日常检查、监管工作中发现任何建筑工程质量安全事故的预警信息，应立即上报区应急指挥部。</w:t>
      </w:r>
    </w:p>
    <w:p w14:paraId="0EEAC3FB">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rPr>
      </w:pPr>
      <w:bookmarkStart w:id="64" w:name="_Toc13159"/>
      <w:bookmarkStart w:id="65" w:name="_Toc29067"/>
      <w:bookmarkStart w:id="66" w:name="_Toc1292"/>
      <w:bookmarkStart w:id="67" w:name="_Toc31150"/>
      <w:r>
        <w:rPr>
          <w:rFonts w:hint="eastAsia" w:ascii="楷体" w:hAnsi="楷体" w:eastAsia="楷体" w:cs="楷体"/>
          <w:b w:val="0"/>
          <w:bCs w:val="0"/>
          <w:snapToGrid w:val="0"/>
          <w:sz w:val="32"/>
          <w:szCs w:val="32"/>
          <w:lang w:eastAsia="zh-CN"/>
        </w:rPr>
        <w:t>（二）</w:t>
      </w:r>
      <w:bookmarkStart w:id="68" w:name="(二)预警"/>
      <w:bookmarkEnd w:id="68"/>
      <w:r>
        <w:rPr>
          <w:rFonts w:hint="eastAsia" w:ascii="楷体" w:hAnsi="楷体" w:eastAsia="楷体" w:cs="楷体"/>
          <w:b w:val="0"/>
          <w:bCs w:val="0"/>
          <w:snapToGrid w:val="0"/>
          <w:sz w:val="32"/>
          <w:szCs w:val="32"/>
        </w:rPr>
        <w:t>预警</w:t>
      </w:r>
      <w:bookmarkEnd w:id="64"/>
      <w:bookmarkEnd w:id="65"/>
      <w:bookmarkEnd w:id="66"/>
      <w:bookmarkEnd w:id="67"/>
    </w:p>
    <w:p w14:paraId="5F6D3D03">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1.区住建局、建筑施工企业要定期分析、研究可能导致事故的信息，研究确定应对方案；</w:t>
      </w:r>
    </w:p>
    <w:p w14:paraId="7CCA8B35">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2.对即将发生建筑工程安全事故要确定预警级别；</w:t>
      </w:r>
    </w:p>
    <w:p w14:paraId="014B5869">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3.区应急指挥部在确认可能引发建筑工程事故后，根据预案及时开展部署，要迅速通知各成员单位采取相应行动，防止事故的发生或事态的进一步扩大；</w:t>
      </w:r>
    </w:p>
    <w:p w14:paraId="428B53D7">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lang w:val="en-US" w:eastAsia="zh-CN"/>
        </w:rPr>
      </w:pPr>
      <w:r>
        <w:rPr>
          <w:rFonts w:hint="eastAsia" w:ascii="仿宋" w:hAnsi="仿宋" w:eastAsia="仿宋" w:cs="仿宋"/>
          <w:snapToGrid w:val="0"/>
          <w:lang w:val="en-US" w:eastAsia="zh-CN"/>
        </w:rPr>
        <w:t>4.发生事故后，依据事故的级别，及时启动事故应急预案，组织实施救援。</w:t>
      </w:r>
    </w:p>
    <w:p w14:paraId="761C3293">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lang w:eastAsia="zh-CN"/>
        </w:rPr>
      </w:pPr>
      <w:bookmarkStart w:id="69" w:name="_Toc10712"/>
      <w:bookmarkStart w:id="70" w:name="_Toc27416"/>
      <w:bookmarkStart w:id="71" w:name="_Toc7965"/>
      <w:bookmarkStart w:id="72" w:name="_Toc29486"/>
      <w:r>
        <w:rPr>
          <w:rFonts w:hint="eastAsia" w:ascii="楷体" w:hAnsi="楷体" w:eastAsia="楷体" w:cs="楷体"/>
          <w:b w:val="0"/>
          <w:bCs w:val="0"/>
          <w:snapToGrid w:val="0"/>
          <w:sz w:val="32"/>
          <w:szCs w:val="32"/>
          <w:lang w:eastAsia="zh-CN"/>
        </w:rPr>
        <w:t>（三）预警级别及发布</w:t>
      </w:r>
      <w:bookmarkEnd w:id="69"/>
      <w:bookmarkEnd w:id="70"/>
      <w:bookmarkEnd w:id="71"/>
      <w:bookmarkEnd w:id="72"/>
    </w:p>
    <w:p w14:paraId="4871D01B">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（1）红色预警（一级）：</w:t>
      </w:r>
      <w:r>
        <w:rPr>
          <w:rFonts w:hint="eastAsia" w:ascii="仿宋" w:hAnsi="仿宋" w:eastAsia="仿宋" w:cs="仿宋"/>
          <w:snapToGrid w:val="0"/>
          <w:lang w:val="en-US" w:eastAsia="zh-CN"/>
        </w:rPr>
        <w:t>预计将要发生特别重大及以上的建筑工程突发事故，事故即将发生，事态有正在蔓延。</w:t>
      </w:r>
    </w:p>
    <w:p w14:paraId="51496AB6">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snapToGrid w:val="0"/>
          <w:lang w:val="en-US" w:eastAsia="zh-CN"/>
        </w:rPr>
      </w:pPr>
      <w:r>
        <w:rPr>
          <w:rFonts w:hint="eastAsia" w:ascii="仿宋" w:hAnsi="仿宋" w:eastAsia="仿宋" w:cs="仿宋"/>
          <w:b/>
          <w:bCs/>
          <w:snapToGrid w:val="0"/>
          <w:lang w:val="en-US" w:eastAsia="zh-CN"/>
        </w:rPr>
        <w:t>（2）橙色预警（二级）：</w:t>
      </w:r>
      <w:r>
        <w:rPr>
          <w:rFonts w:hint="eastAsia" w:ascii="仿宋" w:hAnsi="仿宋" w:eastAsia="仿宋" w:cs="仿宋"/>
          <w:snapToGrid w:val="0"/>
          <w:lang w:val="en-US" w:eastAsia="zh-CN"/>
        </w:rPr>
        <w:t>预计将要发生重大及以上的建筑工程突发事故，事故即将发生，事态正在逐步扩大。</w:t>
      </w:r>
    </w:p>
    <w:p w14:paraId="088F9CDD">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snapToGrid w:val="0"/>
          <w:lang w:val="en-US" w:eastAsia="zh-CN"/>
        </w:rPr>
      </w:pPr>
      <w:r>
        <w:rPr>
          <w:rFonts w:hint="eastAsia" w:ascii="仿宋" w:hAnsi="仿宋" w:eastAsia="仿宋" w:cs="仿宋"/>
          <w:b/>
          <w:bCs/>
          <w:snapToGrid w:val="0"/>
          <w:lang w:val="en-US" w:eastAsia="zh-CN"/>
        </w:rPr>
        <w:t>（3）黄色预警（三级）：</w:t>
      </w:r>
      <w:r>
        <w:rPr>
          <w:rFonts w:hint="eastAsia" w:ascii="仿宋" w:hAnsi="仿宋" w:eastAsia="仿宋" w:cs="仿宋"/>
          <w:snapToGrid w:val="0"/>
          <w:lang w:val="en-US" w:eastAsia="zh-CN"/>
        </w:rPr>
        <w:t>预计将要发生较大及以上的建筑工程突发事故，事故即将临近，事态有扩大的趋势。</w:t>
      </w:r>
    </w:p>
    <w:p w14:paraId="08818E79">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snapToGrid w:val="0"/>
          <w:lang w:val="en-US" w:eastAsia="zh-CN"/>
        </w:rPr>
      </w:pPr>
      <w:r>
        <w:rPr>
          <w:rFonts w:hint="eastAsia" w:ascii="仿宋" w:hAnsi="仿宋" w:eastAsia="仿宋" w:cs="仿宋"/>
          <w:b/>
          <w:bCs/>
          <w:snapToGrid w:val="0"/>
          <w:lang w:val="en-US" w:eastAsia="zh-CN"/>
        </w:rPr>
        <w:t>（4）蓝色预警（四级）：</w:t>
      </w:r>
      <w:r>
        <w:rPr>
          <w:rFonts w:hint="eastAsia" w:ascii="仿宋" w:hAnsi="仿宋" w:eastAsia="仿宋" w:cs="仿宋"/>
          <w:snapToGrid w:val="0"/>
          <w:lang w:val="en-US" w:eastAsia="zh-CN"/>
        </w:rPr>
        <w:t>预计将要发生一般及以上的建筑工程突发事故，事故即将临近，事态可能会扩大。</w:t>
      </w:r>
    </w:p>
    <w:p w14:paraId="6D4376AB">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2.预警信息发布</w:t>
      </w:r>
    </w:p>
    <w:p w14:paraId="502C7F99">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snapToGrid w:val="0"/>
          <w:lang w:val="en-US" w:eastAsia="zh-CN"/>
        </w:rPr>
      </w:pPr>
      <w:r>
        <w:rPr>
          <w:rFonts w:hint="eastAsia" w:ascii="仿宋" w:hAnsi="仿宋" w:eastAsia="仿宋" w:cs="仿宋"/>
          <w:b/>
          <w:bCs/>
          <w:snapToGrid w:val="0"/>
          <w:lang w:val="en-US" w:eastAsia="zh-CN"/>
        </w:rPr>
        <w:t>（1）事故信息研判。</w:t>
      </w:r>
      <w:r>
        <w:rPr>
          <w:rFonts w:hint="eastAsia" w:ascii="仿宋" w:hAnsi="仿宋" w:eastAsia="仿宋" w:cs="仿宋"/>
          <w:snapToGrid w:val="0"/>
          <w:lang w:val="en-US" w:eastAsia="zh-CN"/>
        </w:rPr>
        <w:t>辖区内建筑工程生产、储存、输配（不含槽罐等道路运输）、使用等过程中，发生建筑工程泄漏、火灾、爆炸及供气中断等突发事故，事发地单位或个人应立即报警，并报区应急指挥部。区应急指挥部办公室在专家库里抽取专家对监测的信息进行评估，判定是否发布预警信息、事故发布机构。蓝色预警（四级）由区应急指挥部提出预警建议，由区政府授权负责发布，通报可能受到影响和危害的相邻区政府。</w:t>
      </w:r>
    </w:p>
    <w:p w14:paraId="5627E5A0">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黄色预警（三级）及以上级别预警信息，由区应急指挥部提出预警建议，报区政府批准后，上报市建筑工程质量安全事故应急领导机构，由市、省级应急领导机构发布。</w:t>
      </w:r>
    </w:p>
    <w:p w14:paraId="6436DEAB">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snapToGrid w:val="0"/>
          <w:lang w:val="en-US" w:eastAsia="zh-CN"/>
        </w:rPr>
      </w:pPr>
      <w:r>
        <w:rPr>
          <w:rFonts w:hint="eastAsia" w:ascii="仿宋" w:hAnsi="仿宋" w:eastAsia="仿宋" w:cs="仿宋"/>
          <w:b/>
          <w:bCs/>
          <w:snapToGrid w:val="0"/>
          <w:lang w:val="en-US" w:eastAsia="zh-CN"/>
        </w:rPr>
        <w:t>（2）发布内容。</w:t>
      </w:r>
      <w:r>
        <w:rPr>
          <w:rFonts w:hint="eastAsia" w:ascii="仿宋" w:hAnsi="仿宋" w:eastAsia="仿宋" w:cs="仿宋"/>
          <w:snapToGrid w:val="0"/>
          <w:lang w:val="en-US" w:eastAsia="zh-CN"/>
        </w:rPr>
        <w:t>蓝级预警（四级）信息通过向阳区预警信息发布通过短信、微信群等和“政府公众号”或网站发布。发布内容应包括：发布机构、发布时间、预警级别、起始时间、可能影响范围、警示事项、事态发展、相关措施和咨询电话等。</w:t>
      </w:r>
    </w:p>
    <w:p w14:paraId="280922BC">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3.预警信息的变更和解除</w:t>
      </w:r>
    </w:p>
    <w:p w14:paraId="01864D42">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预警信息发布单位应当根据事态发展和应急专家组的预警建议，适时调整预警级别并重新发布。有事实证明不可能发生突发事故或者危险已经解除的，预警信息发布单位应宣布解除预警信息，终止预警期。</w:t>
      </w:r>
    </w:p>
    <w:p w14:paraId="184E90FB">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lang w:eastAsia="zh-CN"/>
        </w:rPr>
      </w:pPr>
      <w:bookmarkStart w:id="73" w:name="_Toc32090"/>
      <w:bookmarkStart w:id="74" w:name="_Toc21219"/>
      <w:bookmarkStart w:id="75" w:name="_Toc18402"/>
      <w:bookmarkStart w:id="76" w:name="_Toc22063"/>
      <w:r>
        <w:rPr>
          <w:rFonts w:hint="eastAsia" w:ascii="楷体" w:hAnsi="楷体" w:eastAsia="楷体" w:cs="楷体"/>
          <w:b w:val="0"/>
          <w:bCs w:val="0"/>
          <w:snapToGrid w:val="0"/>
          <w:sz w:val="32"/>
          <w:szCs w:val="32"/>
          <w:lang w:eastAsia="zh-CN"/>
        </w:rPr>
        <w:t>（四）预警响应措施</w:t>
      </w:r>
      <w:bookmarkEnd w:id="73"/>
      <w:bookmarkEnd w:id="74"/>
      <w:bookmarkEnd w:id="75"/>
      <w:bookmarkEnd w:id="76"/>
    </w:p>
    <w:p w14:paraId="191CA2E9">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1.蓝色预警（四级）响应信息发布后，区应急指挥部及其成员单位根据实际情况和分级负责的原则，依法采取下列一项或多项措施：</w:t>
      </w:r>
    </w:p>
    <w:p w14:paraId="7AA28CAF">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（1）指挥部及时研判收集的预警信息，根据风险现状及发展趋势，决定是否启动应急响应及采取相应的预警行动。</w:t>
      </w:r>
    </w:p>
    <w:p w14:paraId="48FC1B6F">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（2）组织应急专家和专业队伍赶赴事故现场，控制事故的发展，对事故及事态发展趋势作出评估。</w:t>
      </w:r>
    </w:p>
    <w:p w14:paraId="0AB54B51">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（3）根据应急处置措施，组织负有特定职责的人员进入待命状态，动员后备人员做好应急准备。</w:t>
      </w:r>
    </w:p>
    <w:p w14:paraId="68171BAB">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（4）组织相关单位做好应急救援所需物资、装备、设备、工具、应急设施和避难场所等准备，确保其随时可以投入正常使用。</w:t>
      </w:r>
    </w:p>
    <w:p w14:paraId="598D66A1">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（5）加强重点单位、重要部位和重要基础设施的安全保卫，确保交通、通信、供水、排水、供电、供气、输油等公共设施的安全运行。</w:t>
      </w:r>
    </w:p>
    <w:p w14:paraId="20A723D4">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（6）转移、疏散或撤离易受突发事故危害的人员并予以妥善安置，转移重要财产。</w:t>
      </w:r>
    </w:p>
    <w:p w14:paraId="471640BA">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（7）关闭或限制使用易受突发事故危害的场所，控制或限制容易导致危害扩大的公共场所的活动。其他必要的防范性、保护性措施。</w:t>
      </w:r>
    </w:p>
    <w:p w14:paraId="3BBDE8B3">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snapToGrid w:val="0"/>
        </w:rPr>
      </w:pPr>
      <w:r>
        <w:rPr>
          <w:rFonts w:hint="eastAsia" w:ascii="仿宋" w:hAnsi="仿宋" w:eastAsia="仿宋" w:cs="仿宋"/>
          <w:snapToGrid w:val="0"/>
          <w:lang w:val="en-US" w:eastAsia="zh-CN"/>
        </w:rPr>
        <w:t>2.黄色预警（三级）及以上预警响应在蓝色预警（四级）响应的基础上，由</w:t>
      </w:r>
      <w:r>
        <w:rPr>
          <w:rFonts w:hint="eastAsia" w:ascii="仿宋" w:hAnsi="仿宋" w:eastAsia="仿宋" w:cs="仿宋"/>
          <w:strike w:val="0"/>
          <w:dstrike w:val="0"/>
          <w:snapToGrid w:val="0"/>
          <w:color w:val="auto"/>
          <w:lang w:val="en-US" w:eastAsia="zh-CN"/>
        </w:rPr>
        <w:t>区级</w:t>
      </w:r>
      <w:r>
        <w:rPr>
          <w:rFonts w:hint="eastAsia" w:ascii="仿宋" w:hAnsi="仿宋" w:eastAsia="仿宋" w:cs="仿宋"/>
          <w:snapToGrid w:val="0"/>
          <w:lang w:val="en-US" w:eastAsia="zh-CN"/>
        </w:rPr>
        <w:t>以上事故应急机构统一部署，区应急指挥部积极响应。</w:t>
      </w:r>
    </w:p>
    <w:p w14:paraId="7F94FFA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snapToGrid w:val="0"/>
        </w:rPr>
      </w:pPr>
      <w:bookmarkStart w:id="77" w:name="_Toc16665"/>
      <w:r>
        <w:rPr>
          <w:snapToGrid w:val="0"/>
        </w:rPr>
        <w:t>四、</w:t>
      </w:r>
      <w:r>
        <w:rPr>
          <w:rFonts w:hint="eastAsia"/>
          <w:snapToGrid w:val="0"/>
        </w:rPr>
        <w:t>信息报告</w:t>
      </w:r>
      <w:bookmarkEnd w:id="77"/>
    </w:p>
    <w:p w14:paraId="1220A7B3">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rPr>
      </w:pPr>
      <w:bookmarkStart w:id="78" w:name="_Toc14504"/>
      <w:r>
        <w:rPr>
          <w:rFonts w:hint="eastAsia" w:ascii="楷体" w:hAnsi="楷体" w:eastAsia="楷体" w:cs="楷体"/>
          <w:b w:val="0"/>
          <w:bCs w:val="0"/>
          <w:snapToGrid w:val="0"/>
          <w:sz w:val="32"/>
          <w:szCs w:val="32"/>
          <w:lang w:eastAsia="zh-CN"/>
        </w:rPr>
        <w:t>（一）</w:t>
      </w:r>
      <w:r>
        <w:rPr>
          <w:rFonts w:hint="eastAsia" w:ascii="楷体" w:hAnsi="楷体" w:eastAsia="楷体" w:cs="楷体"/>
          <w:b w:val="0"/>
          <w:bCs w:val="0"/>
          <w:snapToGrid w:val="0"/>
          <w:sz w:val="32"/>
          <w:szCs w:val="32"/>
        </w:rPr>
        <w:t>报告时限及程序</w:t>
      </w:r>
      <w:bookmarkEnd w:id="78"/>
    </w:p>
    <w:p w14:paraId="09CE4596">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eastAsia="zh-CN"/>
        </w:rPr>
      </w:pPr>
      <w:r>
        <w:rPr>
          <w:rFonts w:hint="eastAsia" w:ascii="仿宋" w:hAnsi="仿宋" w:eastAsia="仿宋" w:cs="仿宋"/>
          <w:snapToGrid w:val="0"/>
          <w:lang w:eastAsia="zh-CN"/>
        </w:rPr>
        <w:t>（</w:t>
      </w:r>
      <w:r>
        <w:rPr>
          <w:rFonts w:hint="eastAsia" w:ascii="仿宋" w:hAnsi="仿宋" w:eastAsia="仿宋" w:cs="仿宋"/>
          <w:snapToGrid w:val="0"/>
          <w:lang w:val="en-US" w:eastAsia="zh-CN"/>
        </w:rPr>
        <w:t>1</w:t>
      </w:r>
      <w:r>
        <w:rPr>
          <w:rFonts w:hint="eastAsia" w:ascii="仿宋" w:hAnsi="仿宋" w:eastAsia="仿宋" w:cs="仿宋"/>
          <w:snapToGrid w:val="0"/>
          <w:lang w:eastAsia="zh-CN"/>
        </w:rPr>
        <w:t>）建筑企业发生事故后，在15分钟内向区应急指挥部办公室报告。实行施工总承包的建筑工程发生事故时，由总承包单位负责上报。</w:t>
      </w:r>
    </w:p>
    <w:p w14:paraId="495050E0">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eastAsia="zh-CN"/>
        </w:rPr>
      </w:pPr>
      <w:r>
        <w:rPr>
          <w:rFonts w:hint="eastAsia" w:ascii="仿宋" w:hAnsi="仿宋" w:eastAsia="仿宋" w:cs="仿宋"/>
          <w:snapToGrid w:val="0"/>
          <w:lang w:eastAsia="zh-CN"/>
        </w:rPr>
        <w:t>（</w:t>
      </w:r>
      <w:r>
        <w:rPr>
          <w:rFonts w:hint="eastAsia" w:ascii="仿宋" w:hAnsi="仿宋" w:eastAsia="仿宋" w:cs="仿宋"/>
          <w:snapToGrid w:val="0"/>
          <w:lang w:val="en-US" w:eastAsia="zh-CN"/>
        </w:rPr>
        <w:t>2</w:t>
      </w:r>
      <w:r>
        <w:rPr>
          <w:rFonts w:hint="eastAsia" w:ascii="仿宋" w:hAnsi="仿宋" w:eastAsia="仿宋" w:cs="仿宋"/>
          <w:snapToGrid w:val="0"/>
          <w:lang w:eastAsia="zh-CN"/>
        </w:rPr>
        <w:t>）事发地街道办事处和区应急指挥部1小时内向区政府有关领导报告。</w:t>
      </w:r>
    </w:p>
    <w:p w14:paraId="293B82DC">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eastAsia="zh-CN"/>
        </w:rPr>
      </w:pPr>
      <w:r>
        <w:rPr>
          <w:rFonts w:hint="eastAsia" w:ascii="仿宋" w:hAnsi="仿宋" w:eastAsia="仿宋" w:cs="仿宋"/>
          <w:snapToGrid w:val="0"/>
          <w:lang w:eastAsia="zh-CN"/>
        </w:rPr>
        <w:t>（</w:t>
      </w:r>
      <w:r>
        <w:rPr>
          <w:rFonts w:hint="eastAsia" w:ascii="仿宋" w:hAnsi="仿宋" w:eastAsia="仿宋" w:cs="仿宋"/>
          <w:snapToGrid w:val="0"/>
          <w:lang w:val="en-US" w:eastAsia="zh-CN"/>
        </w:rPr>
        <w:t>3</w:t>
      </w:r>
      <w:r>
        <w:rPr>
          <w:rFonts w:hint="eastAsia" w:ascii="仿宋" w:hAnsi="仿宋" w:eastAsia="仿宋" w:cs="仿宋"/>
          <w:snapToGrid w:val="0"/>
          <w:lang w:eastAsia="zh-CN"/>
        </w:rPr>
        <w:t>）确认为一般（Ⅳ级）或较大事故</w:t>
      </w:r>
      <w:r>
        <w:rPr>
          <w:rFonts w:hint="eastAsia" w:ascii="仿宋" w:hAnsi="仿宋" w:eastAsia="仿宋" w:cs="仿宋"/>
          <w:snapToGrid w:val="0"/>
          <w:lang w:val="en-US" w:eastAsia="zh-CN"/>
        </w:rPr>
        <w:t>（Ⅲ级</w:t>
      </w:r>
      <w:r>
        <w:rPr>
          <w:rFonts w:hint="eastAsia" w:ascii="仿宋" w:hAnsi="仿宋" w:eastAsia="仿宋" w:cs="仿宋"/>
          <w:snapToGrid w:val="0"/>
          <w:lang w:eastAsia="zh-CN"/>
        </w:rPr>
        <w:t>）后，区政府及区住建局要在事故发生后3小时内向市政府及上级主管部门报告信息。</w:t>
      </w:r>
    </w:p>
    <w:p w14:paraId="6B17F175">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lang w:eastAsia="zh-CN"/>
        </w:rPr>
      </w:pPr>
      <w:r>
        <w:rPr>
          <w:rFonts w:hint="eastAsia" w:ascii="仿宋" w:hAnsi="仿宋" w:eastAsia="仿宋" w:cs="仿宋"/>
          <w:snapToGrid w:val="0"/>
          <w:lang w:eastAsia="zh-CN"/>
        </w:rPr>
        <w:t>（</w:t>
      </w:r>
      <w:r>
        <w:rPr>
          <w:rFonts w:hint="eastAsia" w:ascii="仿宋" w:hAnsi="仿宋" w:eastAsia="仿宋" w:cs="仿宋"/>
          <w:snapToGrid w:val="0"/>
          <w:lang w:val="en-US" w:eastAsia="zh-CN"/>
        </w:rPr>
        <w:t>4</w:t>
      </w:r>
      <w:r>
        <w:rPr>
          <w:rFonts w:hint="eastAsia" w:ascii="仿宋" w:hAnsi="仿宋" w:eastAsia="仿宋" w:cs="仿宋"/>
          <w:snapToGrid w:val="0"/>
          <w:lang w:eastAsia="zh-CN"/>
        </w:rPr>
        <w:t>）确认为重大</w:t>
      </w:r>
      <w:r>
        <w:rPr>
          <w:rFonts w:hint="eastAsia" w:ascii="仿宋" w:hAnsi="仿宋" w:eastAsia="仿宋" w:cs="仿宋"/>
          <w:snapToGrid w:val="0"/>
          <w:lang w:val="en-US" w:eastAsia="zh-CN"/>
        </w:rPr>
        <w:t>（Ⅱ级）</w:t>
      </w:r>
      <w:r>
        <w:rPr>
          <w:rFonts w:hint="eastAsia" w:ascii="仿宋" w:hAnsi="仿宋" w:eastAsia="仿宋" w:cs="仿宋"/>
          <w:snapToGrid w:val="0"/>
          <w:lang w:eastAsia="zh-CN"/>
        </w:rPr>
        <w:t>和特别重大事故</w:t>
      </w:r>
      <w:r>
        <w:rPr>
          <w:rFonts w:hint="eastAsia" w:ascii="仿宋" w:hAnsi="仿宋" w:eastAsia="仿宋" w:cs="仿宋"/>
          <w:snapToGrid w:val="0"/>
          <w:lang w:val="en-US" w:eastAsia="zh-CN"/>
        </w:rPr>
        <w:t>（Ⅰ级）</w:t>
      </w:r>
      <w:r>
        <w:rPr>
          <w:rFonts w:hint="eastAsia" w:ascii="仿宋" w:hAnsi="仿宋" w:eastAsia="仿宋" w:cs="仿宋"/>
          <w:snapToGrid w:val="0"/>
          <w:lang w:eastAsia="zh-CN"/>
        </w:rPr>
        <w:t>后，区政府及区住建局要在事故发生后2小时内向市政府及上级主管部门报告信息。</w:t>
      </w:r>
    </w:p>
    <w:p w14:paraId="109716E9">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rPr>
      </w:pPr>
      <w:bookmarkStart w:id="79" w:name="_Toc3287"/>
      <w:r>
        <w:rPr>
          <w:rFonts w:hint="eastAsia" w:ascii="楷体" w:hAnsi="楷体" w:eastAsia="楷体" w:cs="楷体"/>
          <w:b w:val="0"/>
          <w:bCs w:val="0"/>
          <w:snapToGrid w:val="0"/>
          <w:sz w:val="32"/>
          <w:szCs w:val="32"/>
          <w:lang w:eastAsia="zh-CN"/>
        </w:rPr>
        <w:t>（二）</w:t>
      </w:r>
      <w:r>
        <w:rPr>
          <w:rFonts w:hint="eastAsia" w:ascii="楷体" w:hAnsi="楷体" w:eastAsia="楷体" w:cs="楷体"/>
          <w:b w:val="0"/>
          <w:bCs w:val="0"/>
          <w:snapToGrid w:val="0"/>
          <w:sz w:val="32"/>
          <w:szCs w:val="32"/>
        </w:rPr>
        <w:t>报告内容</w:t>
      </w:r>
      <w:bookmarkEnd w:id="79"/>
    </w:p>
    <w:p w14:paraId="0F56906F">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（1）事故发生单位及事故发生的时间、地点、事故类别、人员伤亡情况。</w:t>
      </w:r>
    </w:p>
    <w:p w14:paraId="06EFB71D">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（2）建设、勘察、设计、施工、监理等单位名称、资质等级情况，施工单位负责人、工程项目部经理、监理单位有关人员的姓名及执业资格等情况。</w:t>
      </w:r>
    </w:p>
    <w:p w14:paraId="35507D45">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（3）险情基本情况，事故的简要经过，紧急抢险救援情况。</w:t>
      </w:r>
    </w:p>
    <w:p w14:paraId="6BE2A092">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（4）事故原因、性质的初步分析。</w:t>
      </w:r>
    </w:p>
    <w:p w14:paraId="7036FF71">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（5）事故抢救处理的情况和采取的措施；需要协助事故抢救和处理的有关事项。</w:t>
      </w:r>
    </w:p>
    <w:p w14:paraId="08F27C61">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（6）事故的报告单位、签发人和报告时间。</w:t>
      </w:r>
    </w:p>
    <w:p w14:paraId="599A3F1F">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rPr>
      </w:pPr>
      <w:bookmarkStart w:id="80" w:name="_Toc7017"/>
      <w:r>
        <w:rPr>
          <w:rFonts w:hint="eastAsia" w:ascii="楷体" w:hAnsi="楷体" w:eastAsia="楷体" w:cs="楷体"/>
          <w:b w:val="0"/>
          <w:bCs w:val="0"/>
          <w:snapToGrid w:val="0"/>
          <w:sz w:val="32"/>
          <w:szCs w:val="32"/>
          <w:lang w:eastAsia="zh-CN"/>
        </w:rPr>
        <w:t>（三）</w:t>
      </w:r>
      <w:r>
        <w:rPr>
          <w:rFonts w:hint="eastAsia" w:ascii="楷体" w:hAnsi="楷体" w:eastAsia="楷体" w:cs="楷体"/>
          <w:b w:val="0"/>
          <w:bCs w:val="0"/>
          <w:snapToGrid w:val="0"/>
          <w:sz w:val="32"/>
          <w:szCs w:val="32"/>
        </w:rPr>
        <w:t>先期处置</w:t>
      </w:r>
      <w:bookmarkEnd w:id="80"/>
    </w:p>
    <w:p w14:paraId="0D7476B6">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（1）指挥部办公室接到事故报告后，立即分析事故的严重性，及时向区应急指挥部报告并提出处置建议，由区应急指挥部进行决策。</w:t>
      </w:r>
    </w:p>
    <w:p w14:paraId="47FACD8D">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（2）区应急指挥部办公室迅速将指挥部决策及事故情况报告给区委、区政府、市住建局。如需市建筑工程质量安全事故应急领导机构参与应急救援指导、善后处理等事宜，报告时一并提出处置建议。</w:t>
      </w:r>
    </w:p>
    <w:p w14:paraId="7BAC8538">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（3）第一时间召开区应急指挥部成员会议，通报事故情况，各成员单位根据职责分工，迅速到位并开展抢险救援工作。</w:t>
      </w:r>
    </w:p>
    <w:p w14:paraId="247F9DDF">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（4）区应急指挥部召开成员单位和专家组会议，根据事故和应急情况提出建筑工程质量安全事故抢险救援、抢修、医疗救护等工作方案，组织工作组赴现场协助、指导应急救援工作。</w:t>
      </w:r>
    </w:p>
    <w:p w14:paraId="4ED83679">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（5）在抢险救援过程中，需跨区域调配应急物资、救援力量的，报告区政府并提出处置建议，由区政府上报市政府集中、统一、及时调配。</w:t>
      </w:r>
    </w:p>
    <w:p w14:paraId="57AE9E3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snapToGrid w:val="0"/>
        </w:rPr>
      </w:pPr>
      <w:bookmarkStart w:id="81" w:name="_Toc23367"/>
      <w:r>
        <w:rPr>
          <w:rFonts w:hint="eastAsia"/>
          <w:snapToGrid w:val="0"/>
        </w:rPr>
        <w:t>五</w:t>
      </w:r>
      <w:r>
        <w:rPr>
          <w:snapToGrid w:val="0"/>
        </w:rPr>
        <w:t>、</w:t>
      </w:r>
      <w:r>
        <w:rPr>
          <w:rFonts w:hint="eastAsia"/>
          <w:snapToGrid w:val="0"/>
        </w:rPr>
        <w:t>组织自救互救</w:t>
      </w:r>
      <w:bookmarkEnd w:id="81"/>
    </w:p>
    <w:p w14:paraId="60F89126">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rPr>
      </w:pPr>
      <w:bookmarkStart w:id="82" w:name="_Toc29213"/>
      <w:r>
        <w:rPr>
          <w:rFonts w:hint="eastAsia" w:ascii="楷体" w:hAnsi="楷体" w:eastAsia="楷体" w:cs="楷体"/>
          <w:b w:val="0"/>
          <w:bCs w:val="0"/>
          <w:snapToGrid w:val="0"/>
          <w:sz w:val="32"/>
          <w:szCs w:val="32"/>
          <w:lang w:eastAsia="zh-CN"/>
        </w:rPr>
        <w:t>（一）</w:t>
      </w:r>
      <w:r>
        <w:rPr>
          <w:rFonts w:hint="eastAsia" w:ascii="楷体" w:hAnsi="楷体" w:eastAsia="楷体" w:cs="楷体"/>
          <w:b w:val="0"/>
          <w:bCs w:val="0"/>
          <w:snapToGrid w:val="0"/>
          <w:sz w:val="32"/>
          <w:szCs w:val="32"/>
        </w:rPr>
        <w:t>企业先期自救</w:t>
      </w:r>
      <w:bookmarkEnd w:id="82"/>
    </w:p>
    <w:p w14:paraId="3AE55198">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（1）建筑施工企业突发质量安全事故后，立即组织内部救援力量，启动内部应急预案实施救援，并立即报告区应急指挥部办公室。</w:t>
      </w:r>
    </w:p>
    <w:p w14:paraId="0A78188D">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（2）较大及以上事故发生后，事发企业及时拨打119电话请求专业救援队伍支援。</w:t>
      </w:r>
    </w:p>
    <w:p w14:paraId="3C529504">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rPr>
      </w:pPr>
      <w:bookmarkStart w:id="83" w:name="_Toc7861"/>
      <w:r>
        <w:rPr>
          <w:rFonts w:hint="eastAsia" w:ascii="楷体" w:hAnsi="楷体" w:eastAsia="楷体" w:cs="楷体"/>
          <w:b w:val="0"/>
          <w:bCs w:val="0"/>
          <w:snapToGrid w:val="0"/>
          <w:sz w:val="32"/>
          <w:szCs w:val="32"/>
          <w:lang w:eastAsia="zh-CN"/>
        </w:rPr>
        <w:t>（二）</w:t>
      </w:r>
      <w:r>
        <w:rPr>
          <w:rFonts w:hint="eastAsia" w:ascii="楷体" w:hAnsi="楷体" w:eastAsia="楷体" w:cs="楷体"/>
          <w:b w:val="0"/>
          <w:bCs w:val="0"/>
          <w:snapToGrid w:val="0"/>
          <w:sz w:val="32"/>
          <w:szCs w:val="32"/>
        </w:rPr>
        <w:t>社会动员</w:t>
      </w:r>
      <w:bookmarkEnd w:id="83"/>
    </w:p>
    <w:p w14:paraId="472B9258">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rPr>
      </w:pPr>
      <w:r>
        <w:rPr>
          <w:rFonts w:hint="eastAsia" w:ascii="仿宋" w:hAnsi="仿宋" w:eastAsia="仿宋" w:cs="仿宋"/>
          <w:snapToGrid w:val="0"/>
          <w:lang w:eastAsia="zh-CN"/>
        </w:rPr>
        <w:t>（</w:t>
      </w:r>
      <w:r>
        <w:rPr>
          <w:rFonts w:hint="eastAsia" w:ascii="仿宋" w:hAnsi="仿宋" w:eastAsia="仿宋" w:cs="仿宋"/>
          <w:snapToGrid w:val="0"/>
          <w:lang w:val="en-US" w:eastAsia="zh-CN"/>
        </w:rPr>
        <w:t>1</w:t>
      </w:r>
      <w:r>
        <w:rPr>
          <w:rFonts w:hint="eastAsia" w:ascii="仿宋" w:hAnsi="仿宋" w:eastAsia="仿宋" w:cs="仿宋"/>
          <w:snapToGrid w:val="0"/>
          <w:lang w:eastAsia="zh-CN"/>
        </w:rPr>
        <w:t>）</w:t>
      </w:r>
      <w:r>
        <w:rPr>
          <w:rFonts w:hint="eastAsia" w:ascii="仿宋" w:hAnsi="仿宋" w:eastAsia="仿宋" w:cs="仿宋"/>
          <w:snapToGrid w:val="0"/>
        </w:rPr>
        <w:t>根据建筑工程事故的危险程度、波及范围、人员伤亡等情况和应对工作需要，可发布社会动员令，动员公民、企事业单位、社会团体、</w:t>
      </w:r>
      <w:r>
        <w:rPr>
          <w:rFonts w:hint="eastAsia" w:ascii="仿宋" w:hAnsi="仿宋" w:eastAsia="仿宋" w:cs="仿宋"/>
          <w:snapToGrid w:val="0"/>
          <w:lang w:eastAsia="zh-CN"/>
        </w:rPr>
        <w:t>基层群众性自治组织</w:t>
      </w:r>
      <w:r>
        <w:rPr>
          <w:rFonts w:hint="eastAsia" w:ascii="仿宋" w:hAnsi="仿宋" w:eastAsia="仿宋" w:cs="仿宋"/>
          <w:snapToGrid w:val="0"/>
        </w:rPr>
        <w:t>和其他力量，协助政府及有关部门（单位）做好灾害防御、自救互救、紧急救援、秩序维护、后勤保障、医疗救助、卫生防疫、恢复重建、心理疏导等处置工作。</w:t>
      </w:r>
    </w:p>
    <w:p w14:paraId="6D9A1647">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eastAsia="zh-CN"/>
        </w:rPr>
      </w:pPr>
      <w:r>
        <w:rPr>
          <w:rFonts w:hint="eastAsia" w:ascii="仿宋" w:hAnsi="仿宋" w:eastAsia="仿宋" w:cs="仿宋"/>
          <w:snapToGrid w:val="0"/>
          <w:lang w:eastAsia="zh-CN"/>
        </w:rPr>
        <w:t>（</w:t>
      </w:r>
      <w:r>
        <w:rPr>
          <w:rFonts w:hint="eastAsia" w:ascii="仿宋" w:hAnsi="仿宋" w:eastAsia="仿宋" w:cs="仿宋"/>
          <w:snapToGrid w:val="0"/>
          <w:lang w:val="en-US" w:eastAsia="zh-CN"/>
        </w:rPr>
        <w:t>2</w:t>
      </w:r>
      <w:r>
        <w:rPr>
          <w:rFonts w:hint="eastAsia" w:ascii="仿宋" w:hAnsi="仿宋" w:eastAsia="仿宋" w:cs="仿宋"/>
          <w:snapToGrid w:val="0"/>
          <w:lang w:eastAsia="zh-CN"/>
        </w:rPr>
        <w:t>）全区范围内的突发事件社会动员，报请区政府批准后组织实施；街道办事处（</w:t>
      </w:r>
      <w:r>
        <w:rPr>
          <w:rFonts w:hint="eastAsia" w:ascii="仿宋" w:hAnsi="仿宋" w:eastAsia="仿宋" w:cs="仿宋"/>
          <w:snapToGrid w:val="0"/>
          <w:lang w:val="en-US" w:eastAsia="zh-CN"/>
        </w:rPr>
        <w:t>村屯</w:t>
      </w:r>
      <w:r>
        <w:rPr>
          <w:rFonts w:hint="eastAsia" w:ascii="仿宋" w:hAnsi="仿宋" w:eastAsia="仿宋" w:cs="仿宋"/>
          <w:snapToGrid w:val="0"/>
          <w:lang w:eastAsia="zh-CN"/>
        </w:rPr>
        <w:t>）、社区等局部小范围的突发事件社会动员，由指挥部决定并组织实施。</w:t>
      </w:r>
    </w:p>
    <w:p w14:paraId="4B55999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b/>
          <w:snapToGrid w:val="0"/>
          <w:sz w:val="35"/>
        </w:rPr>
      </w:pPr>
      <w:bookmarkStart w:id="84" w:name="_Toc1879"/>
      <w:bookmarkStart w:id="85" w:name="_Toc1401"/>
      <w:bookmarkStart w:id="86" w:name="_Toc27934"/>
      <w:bookmarkStart w:id="87" w:name="_Toc10323"/>
      <w:r>
        <w:rPr>
          <w:rFonts w:hint="eastAsia"/>
          <w:snapToGrid w:val="0"/>
        </w:rPr>
        <w:t>六</w:t>
      </w:r>
      <w:r>
        <w:rPr>
          <w:snapToGrid w:val="0"/>
        </w:rPr>
        <w:t>、应急</w:t>
      </w:r>
      <w:bookmarkEnd w:id="84"/>
      <w:bookmarkEnd w:id="85"/>
      <w:bookmarkEnd w:id="86"/>
      <w:r>
        <w:rPr>
          <w:rFonts w:hint="eastAsia"/>
          <w:snapToGrid w:val="0"/>
        </w:rPr>
        <w:t>处置措施</w:t>
      </w:r>
      <w:bookmarkEnd w:id="87"/>
    </w:p>
    <w:p w14:paraId="2DF293DF">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rPr>
      </w:pPr>
      <w:bookmarkStart w:id="88" w:name="_Toc30009"/>
      <w:r>
        <w:rPr>
          <w:rFonts w:hint="eastAsia" w:ascii="楷体" w:hAnsi="楷体" w:eastAsia="楷体" w:cs="楷体"/>
          <w:b w:val="0"/>
          <w:bCs w:val="0"/>
          <w:snapToGrid w:val="0"/>
          <w:sz w:val="32"/>
          <w:szCs w:val="32"/>
          <w:lang w:eastAsia="zh-CN"/>
        </w:rPr>
        <w:t>（一）</w:t>
      </w:r>
      <w:r>
        <w:rPr>
          <w:rFonts w:hint="eastAsia" w:ascii="楷体" w:hAnsi="楷体" w:eastAsia="楷体" w:cs="楷体"/>
          <w:b w:val="0"/>
          <w:bCs w:val="0"/>
          <w:snapToGrid w:val="0"/>
          <w:sz w:val="32"/>
          <w:szCs w:val="32"/>
        </w:rPr>
        <w:t>指挥与协调</w:t>
      </w:r>
      <w:bookmarkEnd w:id="88"/>
    </w:p>
    <w:p w14:paraId="4E1F8D3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sz w:val="32"/>
          <w:szCs w:val="28"/>
          <w:lang w:val="zh-CN" w:eastAsia="zh-CN" w:bidi="zh-CN"/>
        </w:rPr>
      </w:pPr>
      <w:r>
        <w:rPr>
          <w:rFonts w:hint="eastAsia" w:ascii="仿宋" w:hAnsi="仿宋" w:eastAsia="仿宋" w:cs="仿宋"/>
          <w:snapToGrid w:val="0"/>
          <w:sz w:val="32"/>
          <w:szCs w:val="28"/>
          <w:lang w:val="zh-CN" w:eastAsia="zh-CN" w:bidi="zh-CN"/>
        </w:rPr>
        <w:t>启动</w:t>
      </w:r>
      <w:r>
        <w:rPr>
          <w:rFonts w:hint="eastAsia" w:ascii="仿宋" w:hAnsi="仿宋" w:eastAsia="仿宋" w:cs="仿宋"/>
          <w:snapToGrid w:val="0"/>
          <w:sz w:val="32"/>
          <w:szCs w:val="28"/>
          <w:lang w:val="en-US" w:eastAsia="zh-CN" w:bidi="zh-CN"/>
        </w:rPr>
        <w:t>蓝色预警（</w:t>
      </w:r>
      <w:r>
        <w:rPr>
          <w:rFonts w:hint="eastAsia" w:ascii="仿宋" w:hAnsi="仿宋" w:eastAsia="仿宋" w:cs="仿宋"/>
          <w:snapToGrid w:val="0"/>
          <w:sz w:val="32"/>
          <w:szCs w:val="28"/>
          <w:lang w:val="zh-CN" w:eastAsia="zh-CN" w:bidi="zh-CN"/>
        </w:rPr>
        <w:t>四级）应急响应时，应急指挥部按照“统一指挥，分级负责，属地为主，专业处置”的要求，组织开展应急处置工作。</w:t>
      </w:r>
    </w:p>
    <w:p w14:paraId="59B93FC1">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snapToGrid w:val="0"/>
          <w:sz w:val="32"/>
          <w:szCs w:val="28"/>
          <w:lang w:val="zh-CN" w:eastAsia="zh-CN" w:bidi="zh-CN"/>
        </w:rPr>
      </w:pPr>
      <w:r>
        <w:rPr>
          <w:rFonts w:hint="eastAsia" w:ascii="仿宋" w:hAnsi="仿宋" w:eastAsia="仿宋" w:cs="仿宋"/>
          <w:b/>
          <w:bCs/>
          <w:snapToGrid w:val="0"/>
          <w:sz w:val="32"/>
          <w:szCs w:val="28"/>
          <w:lang w:val="zh-CN" w:eastAsia="zh-CN" w:bidi="zh-CN"/>
        </w:rPr>
        <w:t>（</w:t>
      </w:r>
      <w:r>
        <w:rPr>
          <w:rFonts w:hint="eastAsia" w:ascii="仿宋" w:hAnsi="仿宋" w:eastAsia="仿宋" w:cs="仿宋"/>
          <w:b/>
          <w:bCs/>
          <w:snapToGrid w:val="0"/>
          <w:sz w:val="32"/>
          <w:szCs w:val="28"/>
          <w:lang w:val="en-US" w:eastAsia="zh-CN" w:bidi="zh-CN"/>
        </w:rPr>
        <w:t>1</w:t>
      </w:r>
      <w:r>
        <w:rPr>
          <w:rFonts w:hint="eastAsia" w:ascii="仿宋" w:hAnsi="仿宋" w:eastAsia="仿宋" w:cs="仿宋"/>
          <w:b/>
          <w:bCs/>
          <w:snapToGrid w:val="0"/>
          <w:sz w:val="32"/>
          <w:szCs w:val="28"/>
          <w:lang w:val="zh-CN" w:eastAsia="zh-CN" w:bidi="zh-CN"/>
        </w:rPr>
        <w:t>）区应急指挥部主要采取以下措施：</w:t>
      </w:r>
      <w:r>
        <w:rPr>
          <w:rFonts w:hint="eastAsia" w:ascii="仿宋" w:hAnsi="仿宋" w:eastAsia="仿宋" w:cs="仿宋"/>
          <w:snapToGrid w:val="0"/>
          <w:sz w:val="32"/>
          <w:szCs w:val="28"/>
          <w:lang w:val="zh-CN" w:eastAsia="zh-CN" w:bidi="zh-CN"/>
        </w:rPr>
        <w:t>组织协调有关部门（单位）负责人、应急专家和应急队伍参与应急救援或事件处置；协调有关部门（单位）提供人力、物资、装备、技术、通信等应急保障；制定并组织实施应急救援或事件处置的方案，防止引发次生、衍生或耦合事件；及时掌握突发事件事态进展情况，向</w:t>
      </w:r>
      <w:r>
        <w:rPr>
          <w:rFonts w:hint="eastAsia" w:ascii="仿宋" w:hAnsi="仿宋" w:eastAsia="仿宋" w:cs="仿宋"/>
          <w:snapToGrid w:val="0"/>
          <w:sz w:val="32"/>
          <w:szCs w:val="28"/>
          <w:lang w:val="en-US" w:eastAsia="zh-CN" w:bidi="zh-CN"/>
        </w:rPr>
        <w:t>市</w:t>
      </w:r>
      <w:r>
        <w:rPr>
          <w:rFonts w:hint="eastAsia" w:ascii="仿宋" w:hAnsi="仿宋" w:eastAsia="仿宋" w:cs="仿宋"/>
          <w:snapToGrid w:val="0"/>
          <w:sz w:val="32"/>
          <w:szCs w:val="28"/>
          <w:lang w:val="zh-CN" w:eastAsia="zh-CN" w:bidi="zh-CN"/>
        </w:rPr>
        <w:t>应急</w:t>
      </w:r>
      <w:r>
        <w:rPr>
          <w:rFonts w:hint="eastAsia" w:ascii="仿宋" w:hAnsi="仿宋" w:eastAsia="仿宋" w:cs="仿宋"/>
          <w:snapToGrid w:val="0"/>
          <w:sz w:val="32"/>
          <w:szCs w:val="28"/>
          <w:lang w:val="en-US" w:eastAsia="zh-CN" w:bidi="zh-CN"/>
        </w:rPr>
        <w:t>指挥部办公室</w:t>
      </w:r>
      <w:r>
        <w:rPr>
          <w:rFonts w:hint="eastAsia" w:ascii="仿宋" w:hAnsi="仿宋" w:eastAsia="仿宋" w:cs="仿宋"/>
          <w:snapToGrid w:val="0"/>
          <w:sz w:val="32"/>
          <w:szCs w:val="28"/>
          <w:lang w:val="zh-CN" w:eastAsia="zh-CN" w:bidi="zh-CN"/>
        </w:rPr>
        <w:t>报告，并将有关信息通报区委宣传部；协助区领导综合协调、指挥处置突发事件，传达并督促有关部门（单位）落实上级部门的有关决定事项和领导批示、指示。</w:t>
      </w:r>
    </w:p>
    <w:p w14:paraId="2B85BAD5">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snapToGrid w:val="0"/>
          <w:sz w:val="32"/>
          <w:szCs w:val="28"/>
          <w:lang w:val="zh-CN" w:eastAsia="zh-CN" w:bidi="zh-CN"/>
        </w:rPr>
      </w:pPr>
      <w:r>
        <w:rPr>
          <w:rFonts w:hint="eastAsia" w:ascii="仿宋" w:hAnsi="仿宋" w:eastAsia="仿宋" w:cs="仿宋"/>
          <w:b/>
          <w:bCs/>
          <w:snapToGrid w:val="0"/>
          <w:sz w:val="32"/>
          <w:szCs w:val="28"/>
          <w:lang w:val="zh-CN" w:eastAsia="zh-CN" w:bidi="zh-CN"/>
        </w:rPr>
        <w:t>（</w:t>
      </w:r>
      <w:r>
        <w:rPr>
          <w:rFonts w:hint="eastAsia" w:ascii="仿宋" w:hAnsi="仿宋" w:eastAsia="仿宋" w:cs="仿宋"/>
          <w:b/>
          <w:bCs/>
          <w:snapToGrid w:val="0"/>
          <w:sz w:val="32"/>
          <w:szCs w:val="28"/>
          <w:lang w:val="en-US" w:eastAsia="zh-CN" w:bidi="zh-CN"/>
        </w:rPr>
        <w:t>2</w:t>
      </w:r>
      <w:r>
        <w:rPr>
          <w:rFonts w:hint="eastAsia" w:ascii="仿宋" w:hAnsi="仿宋" w:eastAsia="仿宋" w:cs="仿宋"/>
          <w:b/>
          <w:bCs/>
          <w:snapToGrid w:val="0"/>
          <w:sz w:val="32"/>
          <w:szCs w:val="28"/>
          <w:lang w:val="zh-CN" w:eastAsia="zh-CN" w:bidi="zh-CN"/>
        </w:rPr>
        <w:t>）区应急指挥部</w:t>
      </w:r>
      <w:r>
        <w:rPr>
          <w:rFonts w:hint="eastAsia" w:ascii="仿宋" w:hAnsi="仿宋" w:eastAsia="仿宋" w:cs="仿宋"/>
          <w:b/>
          <w:bCs/>
          <w:snapToGrid w:val="0"/>
          <w:sz w:val="32"/>
          <w:szCs w:val="28"/>
          <w:lang w:val="en-US" w:eastAsia="zh-CN" w:bidi="zh-CN"/>
        </w:rPr>
        <w:t>办公室</w:t>
      </w:r>
      <w:r>
        <w:rPr>
          <w:rFonts w:hint="eastAsia" w:ascii="仿宋" w:hAnsi="仿宋" w:eastAsia="仿宋" w:cs="仿宋"/>
          <w:b/>
          <w:bCs/>
          <w:snapToGrid w:val="0"/>
          <w:sz w:val="32"/>
          <w:szCs w:val="28"/>
          <w:lang w:val="zh-CN" w:eastAsia="zh-CN" w:bidi="zh-CN"/>
        </w:rPr>
        <w:t>主要采取以下措施：</w:t>
      </w:r>
      <w:r>
        <w:rPr>
          <w:rFonts w:hint="eastAsia" w:ascii="仿宋" w:hAnsi="仿宋" w:eastAsia="仿宋" w:cs="仿宋"/>
          <w:snapToGrid w:val="0"/>
          <w:sz w:val="32"/>
          <w:szCs w:val="28"/>
          <w:lang w:val="zh-CN" w:eastAsia="zh-CN" w:bidi="zh-CN"/>
        </w:rPr>
        <w:t>及时掌握突发事件事态进展情况，向区委、区政府报告，并将有关信息通报区委宣传部；协调相关应急资源参与突发事件处置工作，传达并督促有关部门（单位）落实区委、区政府有关决定事项和区领导批示、指示。</w:t>
      </w:r>
    </w:p>
    <w:p w14:paraId="32CFC3ED">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snapToGrid w:val="0"/>
          <w:sz w:val="32"/>
          <w:szCs w:val="28"/>
          <w:lang w:val="zh-CN" w:eastAsia="zh-CN" w:bidi="zh-CN"/>
        </w:rPr>
      </w:pPr>
      <w:r>
        <w:rPr>
          <w:rFonts w:hint="eastAsia" w:ascii="仿宋" w:hAnsi="仿宋" w:eastAsia="仿宋" w:cs="仿宋"/>
          <w:b/>
          <w:bCs/>
          <w:snapToGrid w:val="0"/>
          <w:sz w:val="32"/>
          <w:szCs w:val="28"/>
          <w:lang w:val="zh-CN" w:eastAsia="zh-CN" w:bidi="zh-CN"/>
        </w:rPr>
        <w:t>（</w:t>
      </w:r>
      <w:r>
        <w:rPr>
          <w:rFonts w:hint="eastAsia" w:ascii="仿宋" w:hAnsi="仿宋" w:eastAsia="仿宋" w:cs="仿宋"/>
          <w:b/>
          <w:bCs/>
          <w:snapToGrid w:val="0"/>
          <w:sz w:val="32"/>
          <w:szCs w:val="28"/>
          <w:lang w:val="en-US" w:eastAsia="zh-CN" w:bidi="zh-CN"/>
        </w:rPr>
        <w:t>3</w:t>
      </w:r>
      <w:r>
        <w:rPr>
          <w:rFonts w:hint="eastAsia" w:ascii="仿宋" w:hAnsi="仿宋" w:eastAsia="仿宋" w:cs="仿宋"/>
          <w:b/>
          <w:bCs/>
          <w:snapToGrid w:val="0"/>
          <w:sz w:val="32"/>
          <w:szCs w:val="28"/>
          <w:lang w:val="zh-CN" w:eastAsia="zh-CN" w:bidi="zh-CN"/>
        </w:rPr>
        <w:t>）</w:t>
      </w:r>
      <w:r>
        <w:rPr>
          <w:rFonts w:hint="eastAsia" w:ascii="仿宋" w:hAnsi="仿宋" w:eastAsia="仿宋" w:cs="仿宋"/>
          <w:b/>
          <w:bCs/>
          <w:snapToGrid w:val="0"/>
          <w:sz w:val="32"/>
          <w:szCs w:val="28"/>
          <w:lang w:val="en-US" w:eastAsia="zh-CN" w:bidi="zh-CN"/>
        </w:rPr>
        <w:t>各成员单位</w:t>
      </w:r>
      <w:r>
        <w:rPr>
          <w:rFonts w:hint="eastAsia" w:ascii="仿宋" w:hAnsi="仿宋" w:eastAsia="仿宋" w:cs="仿宋"/>
          <w:b/>
          <w:bCs/>
          <w:snapToGrid w:val="0"/>
          <w:sz w:val="32"/>
          <w:szCs w:val="28"/>
          <w:lang w:val="zh-CN" w:eastAsia="zh-CN" w:bidi="zh-CN"/>
        </w:rPr>
        <w:t>在区应急指挥部的指挥或指导下采取以下措施：</w:t>
      </w:r>
      <w:r>
        <w:rPr>
          <w:rFonts w:hint="eastAsia" w:ascii="仿宋" w:hAnsi="仿宋" w:eastAsia="仿宋" w:cs="仿宋"/>
          <w:snapToGrid w:val="0"/>
          <w:sz w:val="32"/>
          <w:szCs w:val="28"/>
          <w:lang w:val="zh-CN" w:eastAsia="zh-CN" w:bidi="zh-CN"/>
        </w:rPr>
        <w:t>根据相关应急预案，采取措施控制事态发展，开展应急救援和事件处置工作，并向区应急指挥部报告情况；组织协调有关单位做好人力、物资、装备、技术等应急保障工作，维持现场治安和交通秩序，维护社会稳定；组织动员、指导和帮助群众开展防灾、减灾和救灾工作。</w:t>
      </w:r>
    </w:p>
    <w:p w14:paraId="679C3BC1">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snapToGrid w:val="0"/>
          <w:sz w:val="32"/>
          <w:szCs w:val="28"/>
          <w:lang w:val="zh-CN" w:eastAsia="zh-CN" w:bidi="zh-CN"/>
        </w:rPr>
      </w:pPr>
      <w:r>
        <w:rPr>
          <w:rFonts w:hint="eastAsia" w:ascii="仿宋" w:hAnsi="仿宋" w:eastAsia="仿宋" w:cs="仿宋"/>
          <w:b/>
          <w:bCs/>
          <w:snapToGrid w:val="0"/>
          <w:sz w:val="32"/>
          <w:szCs w:val="28"/>
          <w:lang w:val="zh-CN" w:eastAsia="zh-CN" w:bidi="zh-CN"/>
        </w:rPr>
        <w:t>（</w:t>
      </w:r>
      <w:r>
        <w:rPr>
          <w:rFonts w:hint="eastAsia" w:ascii="仿宋" w:hAnsi="仿宋" w:eastAsia="仿宋" w:cs="仿宋"/>
          <w:b/>
          <w:bCs/>
          <w:snapToGrid w:val="0"/>
          <w:sz w:val="32"/>
          <w:szCs w:val="28"/>
          <w:lang w:val="en-US" w:eastAsia="zh-CN" w:bidi="zh-CN"/>
        </w:rPr>
        <w:t>4</w:t>
      </w:r>
      <w:r>
        <w:rPr>
          <w:rFonts w:hint="eastAsia" w:ascii="仿宋" w:hAnsi="仿宋" w:eastAsia="仿宋" w:cs="仿宋"/>
          <w:b/>
          <w:bCs/>
          <w:snapToGrid w:val="0"/>
          <w:sz w:val="32"/>
          <w:szCs w:val="28"/>
          <w:lang w:val="zh-CN" w:eastAsia="zh-CN" w:bidi="zh-CN"/>
        </w:rPr>
        <w:t>）其他有关单位在区安</w:t>
      </w:r>
      <w:r>
        <w:rPr>
          <w:rFonts w:hint="eastAsia" w:ascii="仿宋" w:hAnsi="仿宋" w:eastAsia="仿宋" w:cs="仿宋"/>
          <w:b/>
          <w:bCs/>
          <w:snapToGrid w:val="0"/>
          <w:sz w:val="32"/>
          <w:szCs w:val="28"/>
          <w:lang w:val="en-US" w:eastAsia="zh-CN" w:bidi="zh-CN"/>
        </w:rPr>
        <w:t>防委</w:t>
      </w:r>
      <w:r>
        <w:rPr>
          <w:rFonts w:hint="eastAsia" w:ascii="仿宋" w:hAnsi="仿宋" w:eastAsia="仿宋" w:cs="仿宋"/>
          <w:b/>
          <w:bCs/>
          <w:snapToGrid w:val="0"/>
          <w:sz w:val="32"/>
          <w:szCs w:val="28"/>
          <w:lang w:val="zh-CN" w:eastAsia="zh-CN" w:bidi="zh-CN"/>
        </w:rPr>
        <w:t>、区应急指挥部的指挥或指导下采取以下措施：</w:t>
      </w:r>
      <w:r>
        <w:rPr>
          <w:rFonts w:hint="eastAsia" w:ascii="仿宋" w:hAnsi="仿宋" w:eastAsia="仿宋" w:cs="仿宋"/>
          <w:snapToGrid w:val="0"/>
          <w:sz w:val="32"/>
          <w:szCs w:val="28"/>
          <w:lang w:val="zh-CN" w:eastAsia="zh-CN" w:bidi="zh-CN"/>
        </w:rPr>
        <w:t>根据相关应急预案，开展应急救援或事件处置工作，并向区安</w:t>
      </w:r>
      <w:r>
        <w:rPr>
          <w:rFonts w:hint="eastAsia" w:ascii="仿宋" w:hAnsi="仿宋" w:eastAsia="仿宋" w:cs="仿宋"/>
          <w:snapToGrid w:val="0"/>
          <w:sz w:val="32"/>
          <w:szCs w:val="28"/>
          <w:lang w:val="en-US" w:eastAsia="zh-CN" w:bidi="zh-CN"/>
        </w:rPr>
        <w:t>防</w:t>
      </w:r>
      <w:r>
        <w:rPr>
          <w:rFonts w:hint="eastAsia" w:ascii="仿宋" w:hAnsi="仿宋" w:eastAsia="仿宋" w:cs="仿宋"/>
          <w:snapToGrid w:val="0"/>
          <w:sz w:val="32"/>
          <w:szCs w:val="28"/>
          <w:lang w:val="zh-CN" w:eastAsia="zh-CN" w:bidi="zh-CN"/>
        </w:rPr>
        <w:t>委、区应急指挥部报告情况；派出或协调有关领域的应急专家组参与事件处置工作，提供应急救援、处置事件、减灾救灾等方面决策建议。</w:t>
      </w:r>
    </w:p>
    <w:p w14:paraId="6FAD4117">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snapToGrid w:val="0"/>
          <w:sz w:val="32"/>
          <w:szCs w:val="28"/>
          <w:lang w:val="zh-CN" w:eastAsia="zh-CN" w:bidi="zh-CN"/>
        </w:rPr>
      </w:pPr>
      <w:r>
        <w:rPr>
          <w:rFonts w:hint="eastAsia" w:ascii="仿宋" w:hAnsi="仿宋" w:eastAsia="仿宋" w:cs="仿宋"/>
          <w:b/>
          <w:bCs/>
          <w:snapToGrid w:val="0"/>
          <w:sz w:val="32"/>
          <w:szCs w:val="28"/>
          <w:lang w:val="zh-CN" w:eastAsia="zh-CN" w:bidi="zh-CN"/>
        </w:rPr>
        <w:t>（</w:t>
      </w:r>
      <w:r>
        <w:rPr>
          <w:rFonts w:hint="eastAsia" w:ascii="仿宋" w:hAnsi="仿宋" w:eastAsia="仿宋" w:cs="仿宋"/>
          <w:b/>
          <w:bCs/>
          <w:snapToGrid w:val="0"/>
          <w:sz w:val="32"/>
          <w:szCs w:val="28"/>
          <w:lang w:val="en-US" w:eastAsia="zh-CN" w:bidi="zh-CN"/>
        </w:rPr>
        <w:t>5</w:t>
      </w:r>
      <w:r>
        <w:rPr>
          <w:rFonts w:hint="eastAsia" w:ascii="仿宋" w:hAnsi="仿宋" w:eastAsia="仿宋" w:cs="仿宋"/>
          <w:b/>
          <w:bCs/>
          <w:snapToGrid w:val="0"/>
          <w:sz w:val="32"/>
          <w:szCs w:val="28"/>
          <w:lang w:val="zh-CN" w:eastAsia="zh-CN" w:bidi="zh-CN"/>
        </w:rPr>
        <w:t>）启动</w:t>
      </w:r>
      <w:r>
        <w:rPr>
          <w:rFonts w:hint="eastAsia" w:ascii="仿宋" w:hAnsi="仿宋" w:eastAsia="仿宋" w:cs="仿宋"/>
          <w:b/>
          <w:bCs/>
          <w:snapToGrid w:val="0"/>
          <w:sz w:val="32"/>
          <w:szCs w:val="28"/>
          <w:lang w:val="en-US" w:eastAsia="zh-CN" w:bidi="zh-CN"/>
        </w:rPr>
        <w:t>红色预警（一级）、橙色预警（二级）、黄色预警（三级）</w:t>
      </w:r>
      <w:r>
        <w:rPr>
          <w:rFonts w:hint="eastAsia" w:ascii="仿宋" w:hAnsi="仿宋" w:eastAsia="仿宋" w:cs="仿宋"/>
          <w:b/>
          <w:bCs/>
          <w:snapToGrid w:val="0"/>
          <w:sz w:val="32"/>
          <w:szCs w:val="28"/>
          <w:lang w:val="zh-CN" w:eastAsia="zh-CN" w:bidi="zh-CN"/>
        </w:rPr>
        <w:t>应急响应时，区安</w:t>
      </w:r>
      <w:r>
        <w:rPr>
          <w:rFonts w:hint="eastAsia" w:ascii="仿宋" w:hAnsi="仿宋" w:eastAsia="仿宋" w:cs="仿宋"/>
          <w:b/>
          <w:bCs/>
          <w:snapToGrid w:val="0"/>
          <w:sz w:val="32"/>
          <w:szCs w:val="28"/>
          <w:lang w:val="en-US" w:eastAsia="zh-CN" w:bidi="zh-CN"/>
        </w:rPr>
        <w:t>防</w:t>
      </w:r>
      <w:r>
        <w:rPr>
          <w:rFonts w:hint="eastAsia" w:ascii="仿宋" w:hAnsi="仿宋" w:eastAsia="仿宋" w:cs="仿宋"/>
          <w:b/>
          <w:bCs/>
          <w:snapToGrid w:val="0"/>
          <w:sz w:val="32"/>
          <w:szCs w:val="28"/>
          <w:lang w:val="zh-CN" w:eastAsia="zh-CN" w:bidi="zh-CN"/>
        </w:rPr>
        <w:t>委、区应急指挥部的指挥或指导下采取以下措施：</w:t>
      </w:r>
      <w:r>
        <w:rPr>
          <w:rFonts w:hint="eastAsia" w:ascii="仿宋" w:hAnsi="仿宋" w:eastAsia="仿宋" w:cs="仿宋"/>
          <w:snapToGrid w:val="0"/>
          <w:sz w:val="32"/>
          <w:szCs w:val="28"/>
          <w:lang w:val="zh-CN" w:eastAsia="zh-CN" w:bidi="zh-CN"/>
        </w:rPr>
        <w:t>根据相关应急预案，采取措施控制事态发展，开展应急救援和事件处置工作，向</w:t>
      </w:r>
      <w:r>
        <w:rPr>
          <w:rFonts w:hint="eastAsia" w:ascii="仿宋" w:hAnsi="仿宋" w:eastAsia="仿宋" w:cs="仿宋"/>
          <w:snapToGrid w:val="0"/>
          <w:sz w:val="32"/>
          <w:szCs w:val="28"/>
          <w:lang w:val="en-US" w:eastAsia="zh-CN" w:bidi="zh-CN"/>
        </w:rPr>
        <w:t>市</w:t>
      </w:r>
      <w:r>
        <w:rPr>
          <w:rFonts w:hint="eastAsia" w:ascii="仿宋" w:hAnsi="仿宋" w:eastAsia="仿宋" w:cs="仿宋"/>
          <w:snapToGrid w:val="0"/>
          <w:sz w:val="32"/>
          <w:szCs w:val="28"/>
          <w:lang w:val="zh-CN" w:eastAsia="zh-CN" w:bidi="zh-CN"/>
        </w:rPr>
        <w:t>委、</w:t>
      </w:r>
      <w:r>
        <w:rPr>
          <w:rFonts w:hint="eastAsia" w:ascii="仿宋" w:hAnsi="仿宋" w:eastAsia="仿宋" w:cs="仿宋"/>
          <w:snapToGrid w:val="0"/>
          <w:sz w:val="32"/>
          <w:szCs w:val="28"/>
          <w:lang w:val="en-US" w:eastAsia="zh-CN" w:bidi="zh-CN"/>
        </w:rPr>
        <w:t>市</w:t>
      </w:r>
      <w:r>
        <w:rPr>
          <w:rFonts w:hint="eastAsia" w:ascii="仿宋" w:hAnsi="仿宋" w:eastAsia="仿宋" w:cs="仿宋"/>
          <w:snapToGrid w:val="0"/>
          <w:sz w:val="32"/>
          <w:szCs w:val="28"/>
          <w:lang w:val="zh-CN" w:eastAsia="zh-CN" w:bidi="zh-CN"/>
        </w:rPr>
        <w:t>政府和</w:t>
      </w:r>
      <w:r>
        <w:rPr>
          <w:rFonts w:hint="eastAsia" w:ascii="仿宋" w:hAnsi="仿宋" w:eastAsia="仿宋" w:cs="仿宋"/>
          <w:snapToGrid w:val="0"/>
          <w:sz w:val="32"/>
          <w:szCs w:val="28"/>
          <w:lang w:val="en-US" w:eastAsia="zh-CN" w:bidi="zh-CN"/>
        </w:rPr>
        <w:t>市</w:t>
      </w:r>
      <w:r>
        <w:rPr>
          <w:rFonts w:hint="eastAsia" w:ascii="仿宋" w:hAnsi="仿宋" w:eastAsia="仿宋" w:cs="仿宋"/>
          <w:snapToGrid w:val="0"/>
          <w:sz w:val="32"/>
          <w:szCs w:val="28"/>
          <w:lang w:val="zh-CN" w:eastAsia="zh-CN" w:bidi="zh-CN"/>
        </w:rPr>
        <w:t>应急指挥部报告情况；组织协调有关单位做好人力、物资、装备、技术等应急保障工作，维持现场治安和交通秩序，维护社会稳定；组织动员、指导和帮助群众开展防灾、减灾和救灾工作。</w:t>
      </w:r>
    </w:p>
    <w:p w14:paraId="64A6F15C">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rPr>
      </w:pPr>
      <w:bookmarkStart w:id="89" w:name="_Toc18805"/>
      <w:r>
        <w:rPr>
          <w:rFonts w:hint="eastAsia" w:ascii="楷体" w:hAnsi="楷体" w:eastAsia="楷体" w:cs="楷体"/>
          <w:b w:val="0"/>
          <w:bCs w:val="0"/>
          <w:snapToGrid w:val="0"/>
          <w:sz w:val="32"/>
          <w:szCs w:val="32"/>
          <w:lang w:eastAsia="zh-CN"/>
        </w:rPr>
        <w:t>（二）</w:t>
      </w:r>
      <w:r>
        <w:rPr>
          <w:rFonts w:hint="eastAsia" w:ascii="楷体" w:hAnsi="楷体" w:eastAsia="楷体" w:cs="楷体"/>
          <w:b w:val="0"/>
          <w:bCs w:val="0"/>
          <w:snapToGrid w:val="0"/>
          <w:sz w:val="32"/>
          <w:szCs w:val="32"/>
        </w:rPr>
        <w:t>处置措施</w:t>
      </w:r>
      <w:bookmarkEnd w:id="89"/>
    </w:p>
    <w:p w14:paraId="738646BD">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snapToGrid w:val="0"/>
        </w:rPr>
      </w:pPr>
      <w:r>
        <w:rPr>
          <w:rFonts w:hint="eastAsia" w:ascii="仿宋" w:hAnsi="仿宋" w:eastAsia="仿宋" w:cs="仿宋"/>
          <w:snapToGrid w:val="0"/>
        </w:rPr>
        <w:t>建筑工程质量安全事故扩展为一般级别后，区应急指挥部各成员单位根据相应职责规定，按照突发事故应急处置工作需要，采取人员搜救、医疗救护、危险源控制、交通管制、设备和场所管制、基础设施抢修、资金物资调拨、生活必需品保障、现场秩序维护、社会动员、治安维护等相应处置措施。</w:t>
      </w:r>
    </w:p>
    <w:p w14:paraId="0154A538">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rPr>
      </w:pPr>
      <w:bookmarkStart w:id="90" w:name="_Toc10328"/>
      <w:bookmarkStart w:id="91" w:name="_Toc27054"/>
      <w:bookmarkStart w:id="92" w:name="_Toc10837"/>
      <w:bookmarkStart w:id="93" w:name="_Toc29540"/>
      <w:r>
        <w:rPr>
          <w:rFonts w:hint="eastAsia" w:ascii="楷体" w:hAnsi="楷体" w:eastAsia="楷体" w:cs="楷体"/>
          <w:b w:val="0"/>
          <w:bCs w:val="0"/>
          <w:snapToGrid w:val="0"/>
          <w:sz w:val="32"/>
          <w:szCs w:val="32"/>
          <w:lang w:eastAsia="zh-CN"/>
        </w:rPr>
        <w:t>（三）</w:t>
      </w:r>
      <w:bookmarkStart w:id="94" w:name="(五)响应升级"/>
      <w:bookmarkEnd w:id="94"/>
      <w:r>
        <w:rPr>
          <w:rFonts w:hint="eastAsia" w:ascii="楷体" w:hAnsi="楷体" w:eastAsia="楷体" w:cs="楷体"/>
          <w:b w:val="0"/>
          <w:bCs w:val="0"/>
          <w:snapToGrid w:val="0"/>
          <w:sz w:val="32"/>
          <w:szCs w:val="32"/>
        </w:rPr>
        <w:t>响应升级</w:t>
      </w:r>
      <w:bookmarkEnd w:id="90"/>
      <w:bookmarkEnd w:id="91"/>
      <w:bookmarkEnd w:id="92"/>
      <w:bookmarkEnd w:id="93"/>
    </w:p>
    <w:p w14:paraId="2752FFD4">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snapToGrid w:val="0"/>
        </w:rPr>
      </w:pPr>
      <w:r>
        <w:rPr>
          <w:rFonts w:hint="eastAsia" w:ascii="仿宋" w:hAnsi="仿宋" w:eastAsia="仿宋" w:cs="仿宋"/>
          <w:snapToGrid w:val="0"/>
        </w:rPr>
        <w:t>因建筑工程事故衍生出</w:t>
      </w:r>
      <w:r>
        <w:rPr>
          <w:rFonts w:hint="eastAsia" w:ascii="仿宋" w:hAnsi="仿宋" w:eastAsia="仿宋" w:cs="仿宋"/>
          <w:snapToGrid w:val="0"/>
          <w:lang w:eastAsia="zh-CN"/>
        </w:rPr>
        <w:t>其他</w:t>
      </w:r>
      <w:r>
        <w:rPr>
          <w:rFonts w:hint="eastAsia" w:ascii="仿宋" w:hAnsi="仿宋" w:eastAsia="仿宋" w:cs="仿宋"/>
          <w:snapToGrid w:val="0"/>
        </w:rPr>
        <w:t>突发事件，已经采取的应急措施不足以控制事态发展，由应急指挥部、多个部门（单位）增援参与应急处置的，区应急指挥部应当及时报告区安</w:t>
      </w:r>
      <w:r>
        <w:rPr>
          <w:rFonts w:hint="eastAsia" w:ascii="仿宋" w:hAnsi="仿宋" w:eastAsia="仿宋" w:cs="仿宋"/>
          <w:snapToGrid w:val="0"/>
          <w:lang w:val="en-US" w:eastAsia="zh-CN"/>
        </w:rPr>
        <w:t>防委</w:t>
      </w:r>
      <w:r>
        <w:rPr>
          <w:rFonts w:hint="eastAsia" w:ascii="仿宋" w:hAnsi="仿宋" w:eastAsia="仿宋" w:cs="仿宋"/>
          <w:snapToGrid w:val="0"/>
        </w:rPr>
        <w:t>。区安</w:t>
      </w:r>
      <w:r>
        <w:rPr>
          <w:rFonts w:hint="eastAsia" w:ascii="仿宋" w:hAnsi="仿宋" w:eastAsia="仿宋" w:cs="仿宋"/>
          <w:snapToGrid w:val="0"/>
          <w:lang w:val="en-US" w:eastAsia="zh-CN"/>
        </w:rPr>
        <w:t>防</w:t>
      </w:r>
      <w:r>
        <w:rPr>
          <w:rFonts w:hint="eastAsia" w:ascii="仿宋" w:hAnsi="仿宋" w:eastAsia="仿宋" w:cs="仿宋"/>
          <w:snapToGrid w:val="0"/>
        </w:rPr>
        <w:t>委根据事态发展总</w:t>
      </w:r>
      <w:r>
        <w:rPr>
          <w:rFonts w:hint="eastAsia" w:ascii="仿宋" w:hAnsi="仿宋" w:eastAsia="仿宋" w:cs="仿宋"/>
          <w:snapToGrid w:val="0"/>
          <w:lang w:eastAsia="zh-CN"/>
        </w:rPr>
        <w:t>要求</w:t>
      </w:r>
      <w:r>
        <w:rPr>
          <w:rFonts w:hint="eastAsia" w:ascii="仿宋" w:hAnsi="仿宋" w:eastAsia="仿宋" w:cs="仿宋"/>
          <w:snapToGrid w:val="0"/>
        </w:rPr>
        <w:t>，协调指挥其他专项应急指挥部、部门（单位）参与应急处置。</w:t>
      </w:r>
    </w:p>
    <w:p w14:paraId="362D417B">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snapToGrid w:val="0"/>
        </w:rPr>
      </w:pPr>
      <w:r>
        <w:rPr>
          <w:rFonts w:hint="eastAsia" w:ascii="仿宋" w:hAnsi="仿宋" w:eastAsia="仿宋" w:cs="仿宋"/>
          <w:snapToGrid w:val="0"/>
        </w:rPr>
        <w:t>达到黄色预警（三级）及以上响应标准时</w:t>
      </w:r>
      <w:r>
        <w:rPr>
          <w:rFonts w:hint="eastAsia" w:ascii="仿宋" w:hAnsi="仿宋" w:eastAsia="仿宋" w:cs="仿宋"/>
          <w:snapToGrid w:val="0"/>
          <w:lang w:eastAsia="zh-CN"/>
        </w:rPr>
        <w:t>，由区住建局</w:t>
      </w:r>
      <w:r>
        <w:rPr>
          <w:rFonts w:hint="eastAsia" w:ascii="仿宋" w:hAnsi="仿宋" w:eastAsia="仿宋" w:cs="仿宋"/>
          <w:snapToGrid w:val="0"/>
        </w:rPr>
        <w:t>请示区应急指挥部、区政府批准后，上报市建筑工程质量安全事故应急领导机构启动黄色预警（三级）响应，由市救援队伍参与应急处置工作。</w:t>
      </w:r>
    </w:p>
    <w:p w14:paraId="0135EC62">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rPr>
      </w:pPr>
      <w:bookmarkStart w:id="95" w:name="_Toc4125"/>
      <w:bookmarkStart w:id="96" w:name="_Toc4863"/>
      <w:bookmarkStart w:id="97" w:name="_Toc30621"/>
      <w:bookmarkStart w:id="98" w:name="_Toc15200"/>
      <w:r>
        <w:rPr>
          <w:rFonts w:hint="eastAsia" w:ascii="楷体" w:hAnsi="楷体" w:eastAsia="楷体" w:cs="楷体"/>
          <w:b w:val="0"/>
          <w:bCs w:val="0"/>
          <w:snapToGrid w:val="0"/>
          <w:sz w:val="32"/>
          <w:szCs w:val="32"/>
          <w:lang w:eastAsia="zh-CN"/>
        </w:rPr>
        <w:t>（四）</w:t>
      </w:r>
      <w:bookmarkStart w:id="99" w:name="(七)应急结束"/>
      <w:bookmarkEnd w:id="99"/>
      <w:r>
        <w:rPr>
          <w:rFonts w:hint="eastAsia" w:ascii="楷体" w:hAnsi="楷体" w:eastAsia="楷体" w:cs="楷体"/>
          <w:b w:val="0"/>
          <w:bCs w:val="0"/>
          <w:snapToGrid w:val="0"/>
          <w:sz w:val="32"/>
          <w:szCs w:val="32"/>
        </w:rPr>
        <w:t>应急结束</w:t>
      </w:r>
      <w:bookmarkEnd w:id="95"/>
      <w:bookmarkEnd w:id="96"/>
      <w:bookmarkEnd w:id="97"/>
      <w:bookmarkEnd w:id="98"/>
    </w:p>
    <w:p w14:paraId="0CBA1B8F">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snapToGrid w:val="0"/>
        </w:rPr>
      </w:pPr>
      <w:r>
        <w:rPr>
          <w:rFonts w:hint="eastAsia" w:ascii="仿宋" w:hAnsi="仿宋" w:eastAsia="仿宋" w:cs="仿宋"/>
          <w:snapToGrid w:val="0"/>
        </w:rPr>
        <w:t>一般事故应急响应终止，需同时具备下列条件，并由应急指挥部报请区政府批准后宣布。</w:t>
      </w:r>
    </w:p>
    <w:p w14:paraId="5ABFFA04">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snapToGrid w:val="0"/>
        </w:rPr>
      </w:pPr>
      <w:r>
        <w:rPr>
          <w:rFonts w:hint="eastAsia" w:ascii="仿宋" w:hAnsi="仿宋" w:eastAsia="仿宋" w:cs="仿宋"/>
          <w:snapToGrid w:val="0"/>
          <w:lang w:val="en-US" w:eastAsia="zh-CN"/>
        </w:rPr>
        <w:t>1.</w:t>
      </w:r>
      <w:r>
        <w:rPr>
          <w:rFonts w:hint="eastAsia" w:ascii="仿宋" w:hAnsi="仿宋" w:eastAsia="仿宋" w:cs="仿宋"/>
          <w:snapToGrid w:val="0"/>
        </w:rPr>
        <w:t>死亡和失踪人员已经查清；</w:t>
      </w:r>
    </w:p>
    <w:p w14:paraId="11E75238">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2.事故危害得以控制；</w:t>
      </w:r>
    </w:p>
    <w:p w14:paraId="216A975C">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3.次生、衍生事故风险已经消除；</w:t>
      </w:r>
    </w:p>
    <w:p w14:paraId="7249F992">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4.受伤人员基本得到救治；</w:t>
      </w:r>
    </w:p>
    <w:p w14:paraId="1AF83DF8">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5.紧急疏散人员恢复正常生活。</w:t>
      </w:r>
    </w:p>
    <w:p w14:paraId="406E042C">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snapToGrid w:val="0"/>
        </w:rPr>
      </w:pPr>
      <w:r>
        <w:rPr>
          <w:rFonts w:hint="eastAsia" w:ascii="仿宋" w:hAnsi="仿宋" w:eastAsia="仿宋" w:cs="仿宋"/>
          <w:snapToGrid w:val="0"/>
        </w:rPr>
        <w:t>较大</w:t>
      </w:r>
      <w:r>
        <w:rPr>
          <w:rFonts w:hint="eastAsia" w:ascii="仿宋" w:hAnsi="仿宋" w:eastAsia="仿宋" w:cs="仿宋"/>
          <w:snapToGrid w:val="0"/>
          <w:lang w:val="en-US" w:eastAsia="zh-CN"/>
        </w:rPr>
        <w:t>（Ⅲ级</w:t>
      </w:r>
      <w:r>
        <w:rPr>
          <w:rFonts w:hint="eastAsia" w:ascii="仿宋" w:hAnsi="仿宋" w:eastAsia="仿宋" w:cs="仿宋"/>
          <w:snapToGrid w:val="0"/>
          <w:lang w:eastAsia="zh-CN"/>
        </w:rPr>
        <w:t>）</w:t>
      </w:r>
      <w:r>
        <w:rPr>
          <w:rFonts w:hint="eastAsia" w:ascii="仿宋" w:hAnsi="仿宋" w:eastAsia="仿宋" w:cs="仿宋"/>
          <w:snapToGrid w:val="0"/>
        </w:rPr>
        <w:t>及以上事故应急结束，需由负责应急救援指挥的部门批准后宣布。</w:t>
      </w:r>
    </w:p>
    <w:p w14:paraId="57A2E4D9">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rPr>
      </w:pPr>
      <w:bookmarkStart w:id="100" w:name="_Toc14804"/>
      <w:bookmarkStart w:id="101" w:name="_Toc12190"/>
      <w:bookmarkStart w:id="102" w:name="_Toc9475"/>
      <w:bookmarkStart w:id="103" w:name="_Toc14288"/>
      <w:r>
        <w:rPr>
          <w:rFonts w:hint="eastAsia" w:ascii="楷体" w:hAnsi="楷体" w:eastAsia="楷体" w:cs="楷体"/>
          <w:b w:val="0"/>
          <w:bCs w:val="0"/>
          <w:snapToGrid w:val="0"/>
          <w:sz w:val="32"/>
          <w:szCs w:val="32"/>
          <w:lang w:eastAsia="zh-CN"/>
        </w:rPr>
        <w:t>（五）</w:t>
      </w:r>
      <w:r>
        <w:rPr>
          <w:rFonts w:hint="eastAsia" w:ascii="楷体" w:hAnsi="楷体" w:eastAsia="楷体" w:cs="楷体"/>
          <w:b w:val="0"/>
          <w:bCs w:val="0"/>
          <w:snapToGrid w:val="0"/>
          <w:sz w:val="32"/>
          <w:szCs w:val="32"/>
        </w:rPr>
        <w:t>善后处置</w:t>
      </w:r>
      <w:bookmarkEnd w:id="100"/>
      <w:bookmarkEnd w:id="101"/>
      <w:bookmarkEnd w:id="102"/>
      <w:bookmarkEnd w:id="103"/>
    </w:p>
    <w:p w14:paraId="1F324302">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1.区应急指挥部在事故应急处置结束后采取措施，指挥、协调各有关部门进行善后处理，恢复正常生产和社会秩序。</w:t>
      </w:r>
    </w:p>
    <w:p w14:paraId="664165F6">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2.区应急指挥部按照有关法律规定，对处置事故过程中征用的劳务、设施、设备依法给予补偿；对因参与事故处置工作而伤亡的人员，给予相应的褒奖和抚恤。</w:t>
      </w:r>
    </w:p>
    <w:p w14:paraId="75F17E15">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3.由卫生、环保等部门做好对现场的清理、消毒等卫生防疫方面的监控工作。</w:t>
      </w:r>
    </w:p>
    <w:p w14:paraId="4C7EE52A">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4.区应急指挥部、有关单位、事故企业共同在受灾情况、重建能力以及可利用资源评估后，制定重建和恢复生产、生活计划，及时采取措施，进行恢复重建工作。</w:t>
      </w:r>
    </w:p>
    <w:p w14:paraId="3B2A47B6">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rPr>
      </w:pPr>
      <w:bookmarkStart w:id="104" w:name="_Toc5091"/>
      <w:bookmarkStart w:id="105" w:name="_Toc10883"/>
      <w:bookmarkStart w:id="106" w:name="_Toc8614"/>
      <w:bookmarkStart w:id="107" w:name="_Toc5182"/>
      <w:r>
        <w:rPr>
          <w:rFonts w:hint="eastAsia" w:ascii="楷体" w:hAnsi="楷体" w:eastAsia="楷体" w:cs="楷体"/>
          <w:b w:val="0"/>
          <w:bCs w:val="0"/>
          <w:snapToGrid w:val="0"/>
          <w:sz w:val="32"/>
          <w:szCs w:val="32"/>
          <w:lang w:eastAsia="zh-CN"/>
        </w:rPr>
        <w:t>（六）</w:t>
      </w:r>
      <w:r>
        <w:rPr>
          <w:rFonts w:hint="eastAsia" w:ascii="楷体" w:hAnsi="楷体" w:eastAsia="楷体" w:cs="楷体"/>
          <w:b w:val="0"/>
          <w:bCs w:val="0"/>
          <w:snapToGrid w:val="0"/>
          <w:sz w:val="32"/>
          <w:szCs w:val="32"/>
        </w:rPr>
        <w:t>调查与总结</w:t>
      </w:r>
      <w:bookmarkEnd w:id="104"/>
      <w:bookmarkEnd w:id="105"/>
      <w:bookmarkEnd w:id="106"/>
      <w:bookmarkEnd w:id="107"/>
    </w:p>
    <w:p w14:paraId="600DE795">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区应急指挥部办公室配合市建筑工程质量安全事故应急领导机构做好事故调查处理，依据安全事故调查程序规定，对事故起因、性质、影响、责任、经验教训和恢复重建等问题进行调查，按规定时限提交事故调查报告，提出对有关责任人的处理意见及防止事故再次发生的具体措施。</w:t>
      </w:r>
    </w:p>
    <w:p w14:paraId="107A3080">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2.区应急指挥部办公室及有关部门要及时完成应急救援总结报告并按规定上报。</w:t>
      </w:r>
    </w:p>
    <w:p w14:paraId="3AA34B28">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3.发生较大（Ⅲ级</w:t>
      </w:r>
      <w:r>
        <w:rPr>
          <w:rFonts w:hint="eastAsia" w:ascii="仿宋" w:hAnsi="仿宋" w:eastAsia="仿宋" w:cs="仿宋"/>
          <w:snapToGrid w:val="0"/>
          <w:lang w:eastAsia="zh-CN"/>
        </w:rPr>
        <w:t>）</w:t>
      </w:r>
      <w:r>
        <w:rPr>
          <w:rFonts w:hint="eastAsia" w:ascii="仿宋" w:hAnsi="仿宋" w:eastAsia="仿宋" w:cs="仿宋"/>
          <w:snapToGrid w:val="0"/>
          <w:lang w:val="en-US" w:eastAsia="zh-CN"/>
        </w:rPr>
        <w:t>以上建筑工程安全事故，区应急指挥部成员单位要配合国家或省、市调查组开展事故调查工作。</w:t>
      </w:r>
    </w:p>
    <w:p w14:paraId="25872143">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4.区应急指挥部认真总结事故应急救援工作，查找不足和教训，进一步修订、完善事故应急救援预案。</w:t>
      </w:r>
    </w:p>
    <w:p w14:paraId="4C13D81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snapToGrid w:val="0"/>
          <w:color w:val="auto"/>
        </w:rPr>
      </w:pPr>
      <w:bookmarkStart w:id="108" w:name="_Toc18339"/>
      <w:bookmarkStart w:id="109" w:name="_Toc30728"/>
      <w:bookmarkStart w:id="110" w:name="_Toc17841"/>
      <w:bookmarkStart w:id="111" w:name="_Toc32058"/>
      <w:r>
        <w:rPr>
          <w:rFonts w:hint="eastAsia"/>
          <w:snapToGrid w:val="0"/>
          <w:color w:val="auto"/>
        </w:rPr>
        <w:t>七</w:t>
      </w:r>
      <w:r>
        <w:rPr>
          <w:snapToGrid w:val="0"/>
          <w:color w:val="auto"/>
        </w:rPr>
        <w:t>、</w:t>
      </w:r>
      <w:bookmarkEnd w:id="108"/>
      <w:bookmarkEnd w:id="109"/>
      <w:bookmarkEnd w:id="110"/>
      <w:r>
        <w:rPr>
          <w:rFonts w:hint="eastAsia"/>
          <w:snapToGrid w:val="0"/>
          <w:color w:val="auto"/>
        </w:rPr>
        <w:t>现场管控</w:t>
      </w:r>
      <w:bookmarkEnd w:id="111"/>
    </w:p>
    <w:p w14:paraId="678CEDF4">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color w:val="auto"/>
          <w:lang w:val="en-US" w:eastAsia="zh-CN"/>
        </w:rPr>
      </w:pPr>
      <w:r>
        <w:rPr>
          <w:rFonts w:hint="eastAsia" w:ascii="仿宋" w:hAnsi="仿宋" w:eastAsia="仿宋" w:cs="仿宋"/>
          <w:snapToGrid w:val="0"/>
          <w:color w:val="auto"/>
          <w:lang w:val="en-US" w:eastAsia="zh-CN"/>
        </w:rPr>
        <w:t>1.对事故现场进行警戒，设立警戒或警示标志，并对事故现场进行交通管制，及时疏散与抢险救援无关人员及周边居民；</w:t>
      </w:r>
    </w:p>
    <w:p w14:paraId="680F94E9">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color w:val="auto"/>
          <w:lang w:val="en-US" w:eastAsia="zh-CN"/>
        </w:rPr>
      </w:pPr>
      <w:r>
        <w:rPr>
          <w:rFonts w:hint="eastAsia" w:ascii="仿宋" w:hAnsi="仿宋" w:eastAsia="仿宋" w:cs="仿宋"/>
          <w:snapToGrid w:val="0"/>
          <w:color w:val="auto"/>
          <w:lang w:val="en-US" w:eastAsia="zh-CN"/>
        </w:rPr>
        <w:t>2.事故现场实施紧急医疗救护时，对事故现场采取保护措施，因抢救伤员、防止事故扩大以及疏通交通等原因需要移动现场物体时，必须做出标志，详细记录和绘制事故现场平面图，并妥善保管现场重要遗迹和物证。</w:t>
      </w:r>
    </w:p>
    <w:p w14:paraId="38D0930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snapToGrid w:val="0"/>
        </w:rPr>
      </w:pPr>
      <w:bookmarkStart w:id="112" w:name="_Toc7198"/>
      <w:r>
        <w:rPr>
          <w:rFonts w:hint="eastAsia"/>
          <w:snapToGrid w:val="0"/>
        </w:rPr>
        <w:t>八</w:t>
      </w:r>
      <w:r>
        <w:rPr>
          <w:snapToGrid w:val="0"/>
        </w:rPr>
        <w:t>、</w:t>
      </w:r>
      <w:r>
        <w:rPr>
          <w:rFonts w:hint="eastAsia"/>
          <w:snapToGrid w:val="0"/>
        </w:rPr>
        <w:t>应急资源保障</w:t>
      </w:r>
      <w:bookmarkEnd w:id="112"/>
    </w:p>
    <w:p w14:paraId="34A61C7C">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rPr>
      </w:pPr>
      <w:bookmarkStart w:id="113" w:name="_Toc12399"/>
      <w:bookmarkStart w:id="114" w:name="_Toc30797"/>
      <w:bookmarkStart w:id="115" w:name="_Toc28853"/>
      <w:bookmarkStart w:id="116" w:name="_Toc7956"/>
      <w:r>
        <w:rPr>
          <w:rFonts w:hint="eastAsia" w:ascii="楷体" w:hAnsi="楷体" w:eastAsia="楷体" w:cs="楷体"/>
          <w:b w:val="0"/>
          <w:bCs w:val="0"/>
          <w:snapToGrid w:val="0"/>
          <w:sz w:val="32"/>
          <w:szCs w:val="32"/>
          <w:lang w:eastAsia="zh-CN"/>
        </w:rPr>
        <w:t>（一）</w:t>
      </w:r>
      <w:bookmarkStart w:id="117" w:name="(一)人力资源保障"/>
      <w:bookmarkEnd w:id="117"/>
      <w:r>
        <w:rPr>
          <w:rFonts w:hint="eastAsia" w:ascii="楷体" w:hAnsi="楷体" w:eastAsia="楷体" w:cs="楷体"/>
          <w:b w:val="0"/>
          <w:bCs w:val="0"/>
          <w:snapToGrid w:val="0"/>
          <w:sz w:val="32"/>
          <w:szCs w:val="32"/>
        </w:rPr>
        <w:t>人力资源保障</w:t>
      </w:r>
      <w:bookmarkEnd w:id="113"/>
      <w:bookmarkEnd w:id="114"/>
      <w:bookmarkEnd w:id="115"/>
      <w:bookmarkEnd w:id="116"/>
    </w:p>
    <w:p w14:paraId="639F94D1">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jc w:val="both"/>
        <w:textAlignment w:val="auto"/>
        <w:outlineLvl w:val="2"/>
        <w:rPr>
          <w:rFonts w:hint="eastAsia" w:ascii="仿宋" w:hAnsi="仿宋" w:eastAsia="仿宋" w:cs="仿宋"/>
          <w:b/>
          <w:bCs/>
          <w:snapToGrid w:val="0"/>
        </w:rPr>
      </w:pPr>
      <w:r>
        <w:rPr>
          <w:rFonts w:hint="eastAsia" w:ascii="仿宋" w:hAnsi="仿宋" w:eastAsia="仿宋" w:cs="仿宋"/>
          <w:b/>
          <w:bCs/>
          <w:snapToGrid w:val="0"/>
          <w:lang w:eastAsia="zh-CN"/>
        </w:rPr>
        <w:t>1.</w:t>
      </w:r>
      <w:r>
        <w:rPr>
          <w:rFonts w:hint="eastAsia" w:ascii="仿宋" w:hAnsi="仿宋" w:eastAsia="仿宋" w:cs="仿宋"/>
          <w:b/>
          <w:bCs/>
          <w:snapToGrid w:val="0"/>
        </w:rPr>
        <w:t>救援队伍保障</w:t>
      </w:r>
    </w:p>
    <w:p w14:paraId="7C1CF29C">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snapToGrid w:val="0"/>
        </w:rPr>
      </w:pPr>
      <w:r>
        <w:rPr>
          <w:rFonts w:hint="eastAsia" w:ascii="仿宋" w:hAnsi="仿宋" w:eastAsia="仿宋" w:cs="仿宋"/>
          <w:snapToGrid w:val="0"/>
        </w:rPr>
        <w:t>建筑企业内部可以参加救援</w:t>
      </w:r>
      <w:r>
        <w:rPr>
          <w:rFonts w:hint="eastAsia" w:ascii="仿宋" w:hAnsi="仿宋" w:eastAsia="仿宋" w:cs="仿宋"/>
          <w:snapToGrid w:val="0"/>
          <w:lang w:val="en-US" w:eastAsia="zh-CN"/>
        </w:rPr>
        <w:t>的</w:t>
      </w:r>
      <w:r>
        <w:rPr>
          <w:rFonts w:hint="eastAsia" w:ascii="仿宋" w:hAnsi="仿宋" w:eastAsia="仿宋" w:cs="仿宋"/>
          <w:snapToGrid w:val="0"/>
        </w:rPr>
        <w:t>救援队伍依托本区内消防救援大队</w:t>
      </w:r>
      <w:r>
        <w:rPr>
          <w:rFonts w:hint="eastAsia" w:ascii="仿宋" w:hAnsi="仿宋" w:eastAsia="仿宋" w:cs="仿宋"/>
          <w:snapToGrid w:val="0"/>
          <w:lang w:eastAsia="zh-CN"/>
        </w:rPr>
        <w:t>，</w:t>
      </w:r>
      <w:r>
        <w:rPr>
          <w:rFonts w:hint="eastAsia" w:ascii="仿宋" w:hAnsi="仿宋" w:eastAsia="仿宋" w:cs="仿宋"/>
          <w:snapToGrid w:val="0"/>
        </w:rPr>
        <w:t>必要时可以请示市建筑工程质量安全事故应急领导机构组织市救援队伍支援。</w:t>
      </w:r>
    </w:p>
    <w:p w14:paraId="7D943EF5">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jc w:val="both"/>
        <w:textAlignment w:val="auto"/>
        <w:outlineLvl w:val="2"/>
        <w:rPr>
          <w:rFonts w:hint="eastAsia" w:ascii="仿宋" w:hAnsi="仿宋" w:eastAsia="仿宋" w:cs="仿宋"/>
          <w:b/>
          <w:bCs/>
          <w:snapToGrid w:val="0"/>
          <w:lang w:eastAsia="zh-CN"/>
        </w:rPr>
      </w:pPr>
      <w:r>
        <w:rPr>
          <w:rFonts w:hint="eastAsia" w:ascii="仿宋" w:hAnsi="仿宋" w:eastAsia="仿宋" w:cs="仿宋"/>
          <w:b/>
          <w:bCs/>
          <w:snapToGrid w:val="0"/>
          <w:lang w:val="en-US" w:eastAsia="zh-CN"/>
        </w:rPr>
        <w:t>2.</w:t>
      </w:r>
      <w:r>
        <w:rPr>
          <w:rFonts w:hint="eastAsia" w:ascii="仿宋" w:hAnsi="仿宋" w:eastAsia="仿宋" w:cs="仿宋"/>
          <w:b/>
          <w:bCs/>
          <w:snapToGrid w:val="0"/>
          <w:lang w:eastAsia="zh-CN"/>
        </w:rPr>
        <w:t>应急专家</w:t>
      </w:r>
    </w:p>
    <w:p w14:paraId="3B40399C">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snapToGrid w:val="0"/>
        </w:rPr>
      </w:pPr>
      <w:r>
        <w:rPr>
          <w:rFonts w:hint="eastAsia" w:ascii="仿宋" w:hAnsi="仿宋" w:eastAsia="仿宋" w:cs="仿宋"/>
          <w:snapToGrid w:val="0"/>
          <w:lang w:eastAsia="zh-CN"/>
        </w:rPr>
        <w:t>区住建局</w:t>
      </w:r>
      <w:r>
        <w:rPr>
          <w:rFonts w:hint="eastAsia" w:ascii="仿宋" w:hAnsi="仿宋" w:eastAsia="仿宋" w:cs="仿宋"/>
          <w:snapToGrid w:val="0"/>
        </w:rPr>
        <w:t>负责协调市住房和城乡建设局派出勘察、设计、施工、质监、消防、机电等相关专业专家参加救援，为处置建筑工程抢险决策提供技术支持。</w:t>
      </w:r>
    </w:p>
    <w:p w14:paraId="29EEF236">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jc w:val="both"/>
        <w:textAlignment w:val="auto"/>
        <w:outlineLvl w:val="2"/>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3.社会救援力量</w:t>
      </w:r>
    </w:p>
    <w:p w14:paraId="4ECEC19B">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rPr>
      </w:pPr>
      <w:r>
        <w:rPr>
          <w:rFonts w:hint="eastAsia" w:ascii="仿宋" w:hAnsi="仿宋" w:eastAsia="仿宋" w:cs="仿宋"/>
          <w:snapToGrid w:val="0"/>
          <w:lang w:eastAsia="zh-CN"/>
        </w:rPr>
        <w:t>（</w:t>
      </w:r>
      <w:r>
        <w:rPr>
          <w:rFonts w:hint="eastAsia" w:ascii="仿宋" w:hAnsi="仿宋" w:eastAsia="仿宋" w:cs="仿宋"/>
          <w:snapToGrid w:val="0"/>
          <w:lang w:val="en-US" w:eastAsia="zh-CN"/>
        </w:rPr>
        <w:t>1</w:t>
      </w:r>
      <w:r>
        <w:rPr>
          <w:rFonts w:hint="eastAsia" w:ascii="仿宋" w:hAnsi="仿宋" w:eastAsia="仿宋" w:cs="仿宋"/>
          <w:snapToGrid w:val="0"/>
          <w:lang w:eastAsia="zh-CN"/>
        </w:rPr>
        <w:t>）</w:t>
      </w:r>
      <w:r>
        <w:rPr>
          <w:rFonts w:hint="eastAsia" w:ascii="仿宋" w:hAnsi="仿宋" w:eastAsia="仿宋" w:cs="仿宋"/>
          <w:snapToGrid w:val="0"/>
        </w:rPr>
        <w:t>请示市建筑工程质量安全事故应急领导机构支援，充分依靠部队、武警和预备役民兵的力量。</w:t>
      </w:r>
    </w:p>
    <w:p w14:paraId="6CE635CA">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eastAsia="zh-CN"/>
        </w:rPr>
      </w:pPr>
      <w:r>
        <w:rPr>
          <w:rFonts w:hint="eastAsia" w:ascii="仿宋" w:hAnsi="仿宋" w:eastAsia="仿宋" w:cs="仿宋"/>
          <w:snapToGrid w:val="0"/>
          <w:lang w:eastAsia="zh-CN"/>
        </w:rPr>
        <w:t>（</w:t>
      </w:r>
      <w:r>
        <w:rPr>
          <w:rFonts w:hint="eastAsia" w:ascii="仿宋" w:hAnsi="仿宋" w:eastAsia="仿宋" w:cs="仿宋"/>
          <w:snapToGrid w:val="0"/>
          <w:lang w:val="en-US" w:eastAsia="zh-CN"/>
        </w:rPr>
        <w:t>2</w:t>
      </w:r>
      <w:r>
        <w:rPr>
          <w:rFonts w:hint="eastAsia" w:ascii="仿宋" w:hAnsi="仿宋" w:eastAsia="仿宋" w:cs="仿宋"/>
          <w:snapToGrid w:val="0"/>
          <w:lang w:eastAsia="zh-CN"/>
        </w:rPr>
        <w:t>）</w:t>
      </w:r>
      <w:r>
        <w:rPr>
          <w:rFonts w:hint="eastAsia" w:ascii="仿宋" w:hAnsi="仿宋" w:eastAsia="仿宋" w:cs="仿宋"/>
          <w:snapToGrid w:val="0"/>
          <w:lang w:val="en-US" w:eastAsia="zh-CN"/>
        </w:rPr>
        <w:t>发挥</w:t>
      </w:r>
      <w:r>
        <w:rPr>
          <w:rFonts w:hint="eastAsia" w:ascii="仿宋" w:hAnsi="仿宋" w:eastAsia="仿宋" w:cs="仿宋"/>
          <w:snapToGrid w:val="0"/>
          <w:lang w:eastAsia="zh-CN"/>
        </w:rPr>
        <w:t>团区委、红十字会的作用，鼓励社会团体、企事业单位、基层群众性自治组织以及志愿者等参与建筑工程抢险应急救援工作。</w:t>
      </w:r>
    </w:p>
    <w:p w14:paraId="56AA8875">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rPr>
      </w:pPr>
      <w:r>
        <w:rPr>
          <w:rFonts w:hint="eastAsia" w:ascii="仿宋" w:hAnsi="仿宋" w:eastAsia="仿宋" w:cs="仿宋"/>
          <w:snapToGrid w:val="0"/>
          <w:lang w:eastAsia="zh-CN"/>
        </w:rPr>
        <w:t>（</w:t>
      </w:r>
      <w:r>
        <w:rPr>
          <w:rFonts w:hint="eastAsia" w:ascii="仿宋" w:hAnsi="仿宋" w:eastAsia="仿宋" w:cs="仿宋"/>
          <w:snapToGrid w:val="0"/>
          <w:lang w:val="en-US" w:eastAsia="zh-CN"/>
        </w:rPr>
        <w:t>3</w:t>
      </w:r>
      <w:r>
        <w:rPr>
          <w:rFonts w:hint="eastAsia" w:ascii="仿宋" w:hAnsi="仿宋" w:eastAsia="仿宋" w:cs="仿宋"/>
          <w:snapToGrid w:val="0"/>
          <w:lang w:eastAsia="zh-CN"/>
        </w:rPr>
        <w:t>）组织有相关知识、经验和资质的志愿者成立应急志愿者队伍，参与防灾避险、疏散安置、急救技能等应急知识的宣传、教育和普及工作，参与建筑工程抢险的信息报告、抢险救援、卫生防疫、群众安置、设施抢修和心理疏导等工作。</w:t>
      </w:r>
    </w:p>
    <w:p w14:paraId="6741D6EE">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rPr>
      </w:pPr>
      <w:bookmarkStart w:id="118" w:name="_Toc29208"/>
      <w:bookmarkStart w:id="119" w:name="_Toc18347"/>
      <w:bookmarkStart w:id="120" w:name="_Toc32603"/>
      <w:bookmarkStart w:id="121" w:name="_Toc19023"/>
      <w:r>
        <w:rPr>
          <w:rFonts w:hint="eastAsia" w:ascii="楷体" w:hAnsi="楷体" w:eastAsia="楷体" w:cs="楷体"/>
          <w:b w:val="0"/>
          <w:bCs w:val="0"/>
          <w:snapToGrid w:val="0"/>
          <w:sz w:val="32"/>
          <w:szCs w:val="32"/>
          <w:lang w:eastAsia="zh-CN"/>
        </w:rPr>
        <w:t>（二）</w:t>
      </w:r>
      <w:bookmarkStart w:id="122" w:name="(二)经费保障"/>
      <w:bookmarkEnd w:id="122"/>
      <w:r>
        <w:rPr>
          <w:rFonts w:hint="eastAsia" w:ascii="楷体" w:hAnsi="楷体" w:eastAsia="楷体" w:cs="楷体"/>
          <w:b w:val="0"/>
          <w:bCs w:val="0"/>
          <w:snapToGrid w:val="0"/>
          <w:sz w:val="32"/>
          <w:szCs w:val="32"/>
        </w:rPr>
        <w:t>经费保障</w:t>
      </w:r>
      <w:bookmarkEnd w:id="118"/>
      <w:bookmarkEnd w:id="119"/>
      <w:bookmarkEnd w:id="120"/>
      <w:bookmarkEnd w:id="121"/>
    </w:p>
    <w:p w14:paraId="63DF4DE9">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rPr>
      </w:pPr>
      <w:r>
        <w:rPr>
          <w:rFonts w:hint="eastAsia" w:ascii="仿宋" w:hAnsi="仿宋" w:eastAsia="仿宋" w:cs="仿宋"/>
          <w:snapToGrid w:val="0"/>
          <w:lang w:val="en-US" w:eastAsia="zh-CN"/>
        </w:rPr>
        <w:t>1.</w:t>
      </w:r>
      <w:r>
        <w:rPr>
          <w:rFonts w:hint="eastAsia" w:ascii="仿宋" w:hAnsi="仿宋" w:eastAsia="仿宋" w:cs="仿宋"/>
          <w:snapToGrid w:val="0"/>
        </w:rPr>
        <w:t>区财政局应保障区住建局</w:t>
      </w:r>
      <w:r>
        <w:rPr>
          <w:rFonts w:hint="eastAsia" w:ascii="仿宋" w:hAnsi="仿宋" w:eastAsia="仿宋" w:cs="仿宋"/>
          <w:snapToGrid w:val="0"/>
          <w:lang w:val="en-US" w:eastAsia="zh-CN"/>
        </w:rPr>
        <w:t>等部门</w:t>
      </w:r>
      <w:r>
        <w:rPr>
          <w:rFonts w:hint="eastAsia" w:ascii="仿宋" w:hAnsi="仿宋" w:eastAsia="仿宋" w:cs="仿宋"/>
          <w:snapToGrid w:val="0"/>
        </w:rPr>
        <w:t>预算中承担建筑工程安全监管职责资金的安排与落实。</w:t>
      </w:r>
    </w:p>
    <w:p w14:paraId="08BCE19A">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2.区应急指挥部各成员单位、驻本辖区各建筑工程企业应落实建筑工程应急救援资金保障。</w:t>
      </w:r>
    </w:p>
    <w:p w14:paraId="51279162">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3.鼓励公民、法人和其他社会组织为应对建筑工程事故提供资金捐赠和支持。</w:t>
      </w:r>
    </w:p>
    <w:p w14:paraId="76013E88">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4.为处置建筑工程事故紧急调集、征用有关单位及个人的物资，由区政府按相关规定给予适当补偿。</w:t>
      </w:r>
    </w:p>
    <w:p w14:paraId="6F880651">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5.各建筑工程企业应保障建筑工程事故应急抢险队伍建设资金的落实。</w:t>
      </w:r>
      <w:bookmarkStart w:id="123" w:name="_Toc151"/>
      <w:bookmarkStart w:id="124" w:name="_Toc8083"/>
      <w:bookmarkStart w:id="125" w:name="_Toc6047"/>
    </w:p>
    <w:p w14:paraId="3AFD64F0">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rPr>
      </w:pPr>
      <w:bookmarkStart w:id="126" w:name="_Toc1228"/>
      <w:r>
        <w:rPr>
          <w:rFonts w:hint="eastAsia" w:ascii="楷体" w:hAnsi="楷体" w:eastAsia="楷体" w:cs="楷体"/>
          <w:b w:val="0"/>
          <w:bCs w:val="0"/>
          <w:snapToGrid w:val="0"/>
          <w:sz w:val="32"/>
          <w:szCs w:val="32"/>
          <w:lang w:eastAsia="zh-CN"/>
        </w:rPr>
        <w:t>（三）</w:t>
      </w:r>
      <w:bookmarkStart w:id="127" w:name="(三)物资保障"/>
      <w:bookmarkEnd w:id="127"/>
      <w:r>
        <w:rPr>
          <w:rFonts w:hint="eastAsia" w:ascii="楷体" w:hAnsi="楷体" w:eastAsia="楷体" w:cs="楷体"/>
          <w:b w:val="0"/>
          <w:bCs w:val="0"/>
          <w:snapToGrid w:val="0"/>
          <w:sz w:val="32"/>
          <w:szCs w:val="32"/>
        </w:rPr>
        <w:t>物资保障</w:t>
      </w:r>
      <w:bookmarkEnd w:id="123"/>
      <w:bookmarkEnd w:id="124"/>
      <w:bookmarkEnd w:id="125"/>
      <w:bookmarkEnd w:id="126"/>
    </w:p>
    <w:p w14:paraId="26162973">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rPr>
      </w:pPr>
      <w:r>
        <w:rPr>
          <w:rFonts w:hint="eastAsia" w:ascii="仿宋" w:hAnsi="仿宋" w:eastAsia="仿宋" w:cs="仿宋"/>
          <w:snapToGrid w:val="0"/>
          <w:lang w:val="en-US" w:eastAsia="zh-CN"/>
        </w:rPr>
        <w:t>1.</w:t>
      </w:r>
      <w:r>
        <w:rPr>
          <w:rFonts w:hint="eastAsia" w:ascii="仿宋" w:hAnsi="仿宋" w:eastAsia="仿宋" w:cs="仿宋"/>
          <w:snapToGrid w:val="0"/>
        </w:rPr>
        <w:t>指挥部各成员单位应根据建筑工程事故抢险救援的需要，在各自职责范围内建立应急物资和技术储备，建立紧急调用机制。</w:t>
      </w:r>
    </w:p>
    <w:p w14:paraId="3B40E796">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2.区内各建筑工程企业应根据要求，在服务范围内配备必需的应急设施、装备、车辆和通讯联络设备，并保持良好状态。</w:t>
      </w:r>
    </w:p>
    <w:p w14:paraId="440131EB">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3.鼓励公民、法人和其他组织为应对突发事件提供物资捐赠和支持。</w:t>
      </w:r>
    </w:p>
    <w:p w14:paraId="7CE4E8B2">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4.鼓励和引导社区、企事业单位、社会团体、基层群众性自治组织和居民家庭储备基本的应急物资和生活必需品。</w:t>
      </w:r>
    </w:p>
    <w:p w14:paraId="74BFFD2E">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rPr>
      </w:pPr>
      <w:bookmarkStart w:id="128" w:name="_Toc2797"/>
      <w:bookmarkStart w:id="129" w:name="_Toc6158"/>
      <w:bookmarkStart w:id="130" w:name="_Toc7258"/>
      <w:bookmarkStart w:id="131" w:name="_Toc9765"/>
      <w:r>
        <w:rPr>
          <w:rFonts w:hint="eastAsia" w:ascii="楷体" w:hAnsi="楷体" w:eastAsia="楷体" w:cs="楷体"/>
          <w:b w:val="0"/>
          <w:bCs w:val="0"/>
          <w:snapToGrid w:val="0"/>
          <w:sz w:val="32"/>
          <w:szCs w:val="32"/>
          <w:lang w:eastAsia="zh-CN"/>
        </w:rPr>
        <w:t>（四）</w:t>
      </w:r>
      <w:bookmarkStart w:id="132" w:name="(四)医疗卫生保障"/>
      <w:bookmarkEnd w:id="132"/>
      <w:r>
        <w:rPr>
          <w:rFonts w:hint="eastAsia" w:ascii="楷体" w:hAnsi="楷体" w:eastAsia="楷体" w:cs="楷体"/>
          <w:b w:val="0"/>
          <w:bCs w:val="0"/>
          <w:snapToGrid w:val="0"/>
          <w:sz w:val="32"/>
          <w:szCs w:val="32"/>
        </w:rPr>
        <w:t>医疗卫生保障</w:t>
      </w:r>
      <w:bookmarkEnd w:id="128"/>
      <w:bookmarkEnd w:id="129"/>
      <w:bookmarkEnd w:id="130"/>
      <w:bookmarkEnd w:id="131"/>
    </w:p>
    <w:p w14:paraId="0460CC1E">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snapToGrid w:val="0"/>
        </w:rPr>
      </w:pPr>
      <w:r>
        <w:rPr>
          <w:rFonts w:hint="eastAsia" w:ascii="仿宋" w:hAnsi="仿宋" w:eastAsia="仿宋" w:cs="仿宋"/>
          <w:snapToGrid w:val="0"/>
          <w:lang w:eastAsia="zh-CN"/>
        </w:rPr>
        <w:t>区卫健局</w:t>
      </w:r>
      <w:r>
        <w:rPr>
          <w:rFonts w:hint="eastAsia" w:ascii="仿宋" w:hAnsi="仿宋" w:eastAsia="仿宋" w:cs="仿宋"/>
          <w:snapToGrid w:val="0"/>
        </w:rPr>
        <w:t>负责组织建筑工程事故的应急医疗救援工作，对建筑工程事故所引起的直接人员伤亡以及应急救援人员的间接人员伤亡给予积极的救治。</w:t>
      </w:r>
    </w:p>
    <w:p w14:paraId="10835EDD">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rPr>
      </w:pPr>
      <w:bookmarkStart w:id="133" w:name="_Toc25339"/>
      <w:bookmarkStart w:id="134" w:name="_Toc14076"/>
      <w:bookmarkStart w:id="135" w:name="_Toc9481"/>
      <w:bookmarkStart w:id="136" w:name="_Toc18608"/>
      <w:r>
        <w:rPr>
          <w:rFonts w:hint="eastAsia" w:ascii="楷体" w:hAnsi="楷体" w:eastAsia="楷体" w:cs="楷体"/>
          <w:b w:val="0"/>
          <w:bCs w:val="0"/>
          <w:snapToGrid w:val="0"/>
          <w:sz w:val="32"/>
          <w:szCs w:val="32"/>
          <w:lang w:eastAsia="zh-CN"/>
        </w:rPr>
        <w:t>（五）</w:t>
      </w:r>
      <w:bookmarkStart w:id="137" w:name="(五)交通运输保障"/>
      <w:bookmarkEnd w:id="137"/>
      <w:r>
        <w:rPr>
          <w:rFonts w:hint="eastAsia" w:ascii="楷体" w:hAnsi="楷体" w:eastAsia="楷体" w:cs="楷体"/>
          <w:b w:val="0"/>
          <w:bCs w:val="0"/>
          <w:snapToGrid w:val="0"/>
          <w:sz w:val="32"/>
          <w:szCs w:val="32"/>
        </w:rPr>
        <w:t>交通运输保障</w:t>
      </w:r>
      <w:bookmarkEnd w:id="133"/>
      <w:bookmarkEnd w:id="134"/>
      <w:bookmarkEnd w:id="135"/>
      <w:bookmarkEnd w:id="136"/>
    </w:p>
    <w:p w14:paraId="1ADAEE19">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color w:val="auto"/>
        </w:rPr>
      </w:pPr>
      <w:r>
        <w:rPr>
          <w:rFonts w:hint="eastAsia" w:ascii="仿宋" w:hAnsi="仿宋" w:eastAsia="仿宋" w:cs="仿宋"/>
          <w:snapToGrid w:val="0"/>
          <w:color w:val="auto"/>
          <w:lang w:val="en-US" w:eastAsia="zh-CN"/>
        </w:rPr>
        <w:t>1.</w:t>
      </w:r>
      <w:r>
        <w:rPr>
          <w:rFonts w:hint="eastAsia" w:ascii="仿宋" w:hAnsi="仿宋" w:eastAsia="仿宋" w:cs="仿宋"/>
          <w:snapToGrid w:val="0"/>
          <w:color w:val="auto"/>
          <w:lang w:eastAsia="zh-CN"/>
        </w:rPr>
        <w:t>区</w:t>
      </w:r>
      <w:r>
        <w:rPr>
          <w:rFonts w:hint="eastAsia" w:ascii="仿宋" w:hAnsi="仿宋" w:eastAsia="仿宋" w:cs="仿宋"/>
          <w:snapToGrid w:val="0"/>
          <w:color w:val="auto"/>
          <w:lang w:val="en-US" w:eastAsia="zh-CN"/>
        </w:rPr>
        <w:t>城管</w:t>
      </w:r>
      <w:r>
        <w:rPr>
          <w:rFonts w:hint="eastAsia" w:ascii="仿宋" w:hAnsi="仿宋" w:eastAsia="仿宋" w:cs="仿宋"/>
          <w:snapToGrid w:val="0"/>
          <w:color w:val="auto"/>
          <w:lang w:eastAsia="zh-CN"/>
        </w:rPr>
        <w:t>局</w:t>
      </w:r>
      <w:r>
        <w:rPr>
          <w:rFonts w:hint="eastAsia" w:ascii="仿宋" w:hAnsi="仿宋" w:eastAsia="仿宋" w:cs="仿宋"/>
          <w:snapToGrid w:val="0"/>
          <w:color w:val="auto"/>
        </w:rPr>
        <w:t>牵头，负责建立健全交通运输应急联动机制，保障紧急情况下的综合运输能力。必要时，可紧急动员和征用社会交通运输工具。</w:t>
      </w:r>
    </w:p>
    <w:p w14:paraId="5BECF631">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color w:val="auto"/>
          <w:lang w:val="en-US" w:eastAsia="zh-CN"/>
        </w:rPr>
      </w:pPr>
      <w:r>
        <w:rPr>
          <w:rFonts w:hint="eastAsia" w:ascii="仿宋" w:hAnsi="仿宋" w:eastAsia="仿宋" w:cs="仿宋"/>
          <w:snapToGrid w:val="0"/>
          <w:color w:val="auto"/>
          <w:lang w:val="en-US" w:eastAsia="zh-CN"/>
        </w:rPr>
        <w:t>2.向阳交警大队牵头，建立健全应急通行机制，保障紧急情况下应急交通工具的优先放行，确保运输安全畅通。根据应急处置需要，对突发事故现场及有关道路实行交通管制，开设应急救援“绿色通道”。</w:t>
      </w:r>
    </w:p>
    <w:p w14:paraId="2CADB016">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color w:val="auto"/>
          <w:lang w:val="en-US" w:eastAsia="zh-CN"/>
        </w:rPr>
      </w:pPr>
      <w:r>
        <w:rPr>
          <w:rFonts w:hint="eastAsia" w:ascii="仿宋" w:hAnsi="仿宋" w:eastAsia="仿宋" w:cs="仿宋"/>
          <w:snapToGrid w:val="0"/>
          <w:color w:val="auto"/>
          <w:lang w:val="en-US" w:eastAsia="zh-CN"/>
        </w:rPr>
        <w:t>3.建筑工程事故处置期间，配备由区应急指挥部办公室制发的应急标志的工作人员和交通工具可以优先通行。</w:t>
      </w:r>
    </w:p>
    <w:p w14:paraId="1E490041">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color w:val="auto"/>
          <w:lang w:val="en-US" w:eastAsia="zh-CN"/>
        </w:rPr>
      </w:pPr>
      <w:r>
        <w:rPr>
          <w:rFonts w:hint="eastAsia" w:ascii="仿宋" w:hAnsi="仿宋" w:eastAsia="仿宋" w:cs="仿宋"/>
          <w:snapToGrid w:val="0"/>
          <w:color w:val="auto"/>
          <w:lang w:val="en-US" w:eastAsia="zh-CN"/>
        </w:rPr>
        <w:t>4.道路及交通设施被破坏或毁坏时，区城管局、区住建局等相关职能部门应迅速组织专业应急队伍，尽快组织抢修，保障交通线路顺畅。</w:t>
      </w:r>
    </w:p>
    <w:p w14:paraId="719B834B">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rPr>
      </w:pPr>
      <w:bookmarkStart w:id="138" w:name="_Toc21612"/>
      <w:bookmarkStart w:id="139" w:name="_Toc30820"/>
      <w:bookmarkStart w:id="140" w:name="_Toc19846"/>
      <w:bookmarkStart w:id="141" w:name="_Toc25099"/>
      <w:r>
        <w:rPr>
          <w:rFonts w:hint="eastAsia" w:ascii="楷体" w:hAnsi="楷体" w:eastAsia="楷体" w:cs="楷体"/>
          <w:b w:val="0"/>
          <w:bCs w:val="0"/>
          <w:snapToGrid w:val="0"/>
          <w:sz w:val="32"/>
          <w:szCs w:val="32"/>
          <w:lang w:eastAsia="zh-CN"/>
        </w:rPr>
        <w:t>（六）</w:t>
      </w:r>
      <w:r>
        <w:rPr>
          <w:rFonts w:hint="eastAsia" w:ascii="楷体" w:hAnsi="楷体" w:eastAsia="楷体" w:cs="楷体"/>
          <w:b w:val="0"/>
          <w:bCs w:val="0"/>
          <w:snapToGrid w:val="0"/>
          <w:sz w:val="32"/>
          <w:szCs w:val="32"/>
        </w:rPr>
        <w:t>治安保障</w:t>
      </w:r>
      <w:bookmarkEnd w:id="138"/>
      <w:bookmarkEnd w:id="139"/>
      <w:bookmarkEnd w:id="140"/>
      <w:bookmarkEnd w:id="141"/>
    </w:p>
    <w:p w14:paraId="69F86A44">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rPr>
        <w:t>向阳公安分局应建立应急状态下维持治安秩序的各项方案，包括警力集结、布控、执勤方式和行动措施等</w:t>
      </w:r>
      <w:r>
        <w:rPr>
          <w:rFonts w:hint="eastAsia" w:ascii="仿宋" w:hAnsi="仿宋" w:eastAsia="仿宋" w:cs="仿宋"/>
          <w:snapToGrid w:val="0"/>
          <w:lang w:eastAsia="zh-CN"/>
        </w:rPr>
        <w:t>。</w:t>
      </w:r>
      <w:r>
        <w:rPr>
          <w:rFonts w:hint="eastAsia" w:ascii="仿宋" w:hAnsi="仿宋" w:eastAsia="仿宋" w:cs="仿宋"/>
          <w:snapToGrid w:val="0"/>
          <w:lang w:val="en-US" w:eastAsia="zh-CN"/>
        </w:rPr>
        <w:t>维护建筑工程抢险现场秩序及所在区域社会公共秩序，为建筑工程抢险专业应急救援队处置建筑工程抢险提供保障。负责组织设置警戒线，控制和保护现场，并根据需要组织受灾群众迅速疏散，控制事故肇事人员。</w:t>
      </w:r>
    </w:p>
    <w:p w14:paraId="7A119BE6">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rPr>
      </w:pPr>
      <w:bookmarkStart w:id="142" w:name="(七)通信和信息保障"/>
      <w:bookmarkEnd w:id="142"/>
      <w:bookmarkStart w:id="143" w:name="_Toc9458"/>
      <w:bookmarkStart w:id="144" w:name="_Toc32272"/>
      <w:bookmarkStart w:id="145" w:name="_Toc8372"/>
      <w:bookmarkStart w:id="146" w:name="_Toc12959"/>
      <w:r>
        <w:rPr>
          <w:rFonts w:hint="eastAsia" w:ascii="楷体" w:hAnsi="楷体" w:eastAsia="楷体" w:cs="楷体"/>
          <w:b w:val="0"/>
          <w:bCs w:val="0"/>
          <w:snapToGrid w:val="0"/>
          <w:sz w:val="32"/>
          <w:szCs w:val="32"/>
          <w:lang w:eastAsia="zh-CN"/>
        </w:rPr>
        <w:t>（七）</w:t>
      </w:r>
      <w:r>
        <w:rPr>
          <w:rFonts w:hint="eastAsia" w:ascii="楷体" w:hAnsi="楷体" w:eastAsia="楷体" w:cs="楷体"/>
          <w:b w:val="0"/>
          <w:bCs w:val="0"/>
          <w:snapToGrid w:val="0"/>
          <w:sz w:val="32"/>
          <w:szCs w:val="32"/>
        </w:rPr>
        <w:t>通信和信息保障</w:t>
      </w:r>
      <w:bookmarkEnd w:id="143"/>
      <w:bookmarkEnd w:id="144"/>
      <w:bookmarkEnd w:id="145"/>
      <w:bookmarkEnd w:id="146"/>
    </w:p>
    <w:p w14:paraId="1096C7A9">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snapToGrid w:val="0"/>
        </w:rPr>
      </w:pPr>
      <w:r>
        <w:rPr>
          <w:rFonts w:hint="eastAsia" w:ascii="仿宋" w:hAnsi="仿宋" w:eastAsia="仿宋" w:cs="仿宋"/>
          <w:snapToGrid w:val="0"/>
          <w:lang w:val="en-US"/>
        </w:rPr>
        <w:t>区</w:t>
      </w:r>
      <w:r>
        <w:rPr>
          <w:rFonts w:hint="eastAsia" w:ascii="仿宋" w:hAnsi="仿宋" w:eastAsia="仿宋" w:cs="仿宋"/>
          <w:snapToGrid w:val="0"/>
        </w:rPr>
        <w:t>工信局负责组织有关通信企业，建立健全应急通信保障工作体系，完善公用信息</w:t>
      </w:r>
      <w:r>
        <w:rPr>
          <w:rFonts w:hint="eastAsia" w:ascii="仿宋" w:hAnsi="仿宋" w:eastAsia="仿宋" w:cs="仿宋"/>
          <w:snapToGrid w:val="0"/>
          <w:lang w:eastAsia="zh-CN"/>
        </w:rPr>
        <w:t>网络</w:t>
      </w:r>
      <w:r>
        <w:rPr>
          <w:rFonts w:hint="eastAsia" w:ascii="仿宋" w:hAnsi="仿宋" w:eastAsia="仿宋" w:cs="仿宋"/>
          <w:snapToGrid w:val="0"/>
        </w:rPr>
        <w:t>，建立基础电信网络与机动通信系统相配套的应急通信系统，确保应急处置通信畅通。</w:t>
      </w:r>
    </w:p>
    <w:p w14:paraId="037650AD">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rPr>
      </w:pPr>
      <w:bookmarkStart w:id="147" w:name="_Toc23206"/>
      <w:bookmarkStart w:id="148" w:name="_Toc16603"/>
      <w:bookmarkStart w:id="149" w:name="_Toc26057"/>
      <w:bookmarkStart w:id="150" w:name="_Toc16661"/>
      <w:r>
        <w:rPr>
          <w:rFonts w:hint="eastAsia" w:ascii="楷体" w:hAnsi="楷体" w:eastAsia="楷体" w:cs="楷体"/>
          <w:b w:val="0"/>
          <w:bCs w:val="0"/>
          <w:snapToGrid w:val="0"/>
          <w:sz w:val="32"/>
          <w:szCs w:val="32"/>
          <w:lang w:eastAsia="zh-CN"/>
        </w:rPr>
        <w:t>（八）</w:t>
      </w:r>
      <w:bookmarkStart w:id="151" w:name="(八)现场救援和工程抢险装备保障"/>
      <w:bookmarkEnd w:id="151"/>
      <w:r>
        <w:rPr>
          <w:rFonts w:hint="eastAsia" w:ascii="楷体" w:hAnsi="楷体" w:eastAsia="楷体" w:cs="楷体"/>
          <w:b w:val="0"/>
          <w:bCs w:val="0"/>
          <w:snapToGrid w:val="0"/>
          <w:sz w:val="32"/>
          <w:szCs w:val="32"/>
        </w:rPr>
        <w:t>现场救援和工程抢险装备保障</w:t>
      </w:r>
      <w:bookmarkEnd w:id="147"/>
      <w:bookmarkEnd w:id="148"/>
      <w:bookmarkEnd w:id="149"/>
      <w:bookmarkEnd w:id="150"/>
    </w:p>
    <w:p w14:paraId="6D01ABC0">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snapToGrid w:val="0"/>
        </w:rPr>
      </w:pPr>
      <w:r>
        <w:rPr>
          <w:rFonts w:hint="eastAsia" w:ascii="仿宋" w:hAnsi="仿宋" w:eastAsia="仿宋" w:cs="仿宋"/>
          <w:snapToGrid w:val="0"/>
          <w:lang w:val="en-US" w:eastAsia="zh-CN"/>
        </w:rPr>
        <w:t>1.</w:t>
      </w:r>
      <w:r>
        <w:rPr>
          <w:rFonts w:hint="eastAsia" w:ascii="仿宋" w:hAnsi="仿宋" w:eastAsia="仿宋" w:cs="仿宋"/>
          <w:snapToGrid w:val="0"/>
        </w:rPr>
        <w:t>指挥部和有关部门（单位）及各建筑工程企业根据自身应急管理的需求，按照“平战结合”的原则，配备现场救援和工程抢险装备和器材，建立维护、保养和调用等制度，保障建筑工程事故的抢险和救援。</w:t>
      </w:r>
    </w:p>
    <w:p w14:paraId="7426D9B6">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2.大型现场救援和工程抢险装备，建议由应急指挥部办公室与相关企业签订应急保障服务协议，采取政府资助、合同、委托等方式，紧急情况下区应急指挥办公室可代表区政府直接调用。</w:t>
      </w:r>
    </w:p>
    <w:p w14:paraId="117B09CA">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snapToGrid w:val="0"/>
        </w:rPr>
      </w:pPr>
      <w:r>
        <w:rPr>
          <w:rFonts w:hint="eastAsia" w:ascii="仿宋" w:hAnsi="仿宋" w:eastAsia="仿宋" w:cs="仿宋"/>
          <w:snapToGrid w:val="0"/>
          <w:lang w:val="en-US" w:eastAsia="zh-CN"/>
        </w:rPr>
        <w:t>3.应急指挥部办公室按照区统一格式标准建立救援和抢险装备信息数据库并及时维护更新，保障应急指挥调度的准确和高效。</w:t>
      </w:r>
    </w:p>
    <w:p w14:paraId="383348CD">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lang w:val="zh-CN" w:eastAsia="zh-CN"/>
        </w:rPr>
      </w:pPr>
      <w:bookmarkStart w:id="152" w:name="_Toc6303"/>
      <w:bookmarkStart w:id="153" w:name="_Toc14607"/>
      <w:bookmarkStart w:id="154" w:name="_Toc24350"/>
      <w:bookmarkStart w:id="155" w:name="_Toc14787"/>
      <w:r>
        <w:rPr>
          <w:rFonts w:hint="eastAsia" w:ascii="楷体" w:hAnsi="楷体" w:eastAsia="楷体" w:cs="楷体"/>
          <w:b w:val="0"/>
          <w:bCs w:val="0"/>
          <w:snapToGrid w:val="0"/>
          <w:sz w:val="32"/>
          <w:szCs w:val="32"/>
          <w:lang w:val="zh-CN" w:eastAsia="zh-CN"/>
        </w:rPr>
        <w:t>（九）</w:t>
      </w:r>
      <w:bookmarkStart w:id="156" w:name="(九)室内临时避险场所保障"/>
      <w:bookmarkEnd w:id="156"/>
      <w:r>
        <w:rPr>
          <w:rFonts w:hint="eastAsia" w:ascii="楷体" w:hAnsi="楷体" w:eastAsia="楷体" w:cs="楷体"/>
          <w:b w:val="0"/>
          <w:bCs w:val="0"/>
          <w:snapToGrid w:val="0"/>
          <w:sz w:val="32"/>
          <w:szCs w:val="32"/>
          <w:lang w:val="zh-CN" w:eastAsia="zh-CN"/>
        </w:rPr>
        <w:t>临时避</w:t>
      </w:r>
      <w:r>
        <w:rPr>
          <w:rFonts w:hint="eastAsia" w:ascii="楷体" w:hAnsi="楷体" w:eastAsia="楷体" w:cs="楷体"/>
          <w:b w:val="0"/>
          <w:bCs w:val="0"/>
          <w:snapToGrid w:val="0"/>
          <w:sz w:val="32"/>
          <w:szCs w:val="32"/>
          <w:lang w:val="en-US" w:eastAsia="zh-CN"/>
        </w:rPr>
        <w:t>难</w:t>
      </w:r>
      <w:r>
        <w:rPr>
          <w:rFonts w:hint="eastAsia" w:ascii="楷体" w:hAnsi="楷体" w:eastAsia="楷体" w:cs="楷体"/>
          <w:b w:val="0"/>
          <w:bCs w:val="0"/>
          <w:snapToGrid w:val="0"/>
          <w:sz w:val="32"/>
          <w:szCs w:val="32"/>
          <w:lang w:val="zh-CN" w:eastAsia="zh-CN"/>
        </w:rPr>
        <w:t>场所保障</w:t>
      </w:r>
      <w:bookmarkEnd w:id="152"/>
      <w:bookmarkEnd w:id="153"/>
      <w:bookmarkEnd w:id="154"/>
      <w:bookmarkEnd w:id="155"/>
    </w:p>
    <w:p w14:paraId="227C9FB7">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snapToGrid w:val="0"/>
          <w:color w:val="auto"/>
        </w:rPr>
      </w:pPr>
      <w:r>
        <w:rPr>
          <w:rFonts w:hint="eastAsia" w:ascii="仿宋" w:hAnsi="仿宋" w:eastAsia="仿宋" w:cs="仿宋"/>
          <w:snapToGrid w:val="0"/>
          <w:color w:val="auto"/>
        </w:rPr>
        <w:t>区民政局负责指导街道办事处</w:t>
      </w:r>
      <w:r>
        <w:rPr>
          <w:rFonts w:hint="eastAsia" w:ascii="仿宋" w:hAnsi="仿宋" w:eastAsia="仿宋" w:cs="仿宋"/>
          <w:snapToGrid w:val="0"/>
          <w:color w:val="auto"/>
          <w:lang w:eastAsia="zh-CN"/>
        </w:rPr>
        <w:t>（</w:t>
      </w:r>
      <w:r>
        <w:rPr>
          <w:rFonts w:hint="eastAsia" w:ascii="仿宋" w:hAnsi="仿宋" w:eastAsia="仿宋" w:cs="仿宋"/>
          <w:snapToGrid w:val="0"/>
          <w:color w:val="auto"/>
          <w:lang w:val="en-US" w:eastAsia="zh-CN"/>
        </w:rPr>
        <w:t>村屯</w:t>
      </w:r>
      <w:r>
        <w:rPr>
          <w:rFonts w:hint="eastAsia" w:ascii="仿宋" w:hAnsi="仿宋" w:eastAsia="仿宋" w:cs="仿宋"/>
          <w:snapToGrid w:val="0"/>
          <w:color w:val="auto"/>
          <w:lang w:eastAsia="zh-CN"/>
        </w:rPr>
        <w:t>）</w:t>
      </w:r>
      <w:r>
        <w:rPr>
          <w:rFonts w:hint="eastAsia" w:ascii="仿宋" w:hAnsi="仿宋" w:eastAsia="仿宋" w:cs="仿宋"/>
          <w:snapToGrid w:val="0"/>
          <w:color w:val="auto"/>
        </w:rPr>
        <w:t>设立、管理和协调使用建筑工程突发事件应急</w:t>
      </w:r>
      <w:r>
        <w:rPr>
          <w:rFonts w:hint="eastAsia" w:ascii="仿宋" w:hAnsi="仿宋" w:eastAsia="仿宋" w:cs="仿宋"/>
          <w:snapToGrid w:val="0"/>
          <w:color w:val="auto"/>
          <w:lang w:val="en-US" w:eastAsia="zh-CN"/>
        </w:rPr>
        <w:t>临时</w:t>
      </w:r>
      <w:r>
        <w:rPr>
          <w:rFonts w:hint="eastAsia" w:ascii="仿宋" w:hAnsi="仿宋" w:eastAsia="仿宋" w:cs="仿宋"/>
          <w:snapToGrid w:val="0"/>
          <w:color w:val="auto"/>
        </w:rPr>
        <w:t>避难场所、储备必要的物资，</w:t>
      </w:r>
      <w:r>
        <w:rPr>
          <w:rFonts w:hint="eastAsia" w:ascii="仿宋" w:hAnsi="仿宋" w:eastAsia="仿宋" w:cs="仿宋"/>
          <w:snapToGrid w:val="0"/>
          <w:color w:val="auto"/>
          <w:lang w:val="en-US" w:eastAsia="zh-CN"/>
        </w:rPr>
        <w:t>维护和保障受灾群众的基本生活和实施救助活动</w:t>
      </w:r>
      <w:r>
        <w:rPr>
          <w:rFonts w:hint="eastAsia" w:ascii="仿宋" w:hAnsi="仿宋" w:eastAsia="仿宋" w:cs="仿宋"/>
          <w:snapToGrid w:val="0"/>
          <w:color w:val="auto"/>
        </w:rPr>
        <w:t>。</w:t>
      </w:r>
    </w:p>
    <w:p w14:paraId="2207EEA6">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lang w:val="zh-CN" w:eastAsia="zh-CN"/>
        </w:rPr>
      </w:pPr>
      <w:bookmarkStart w:id="157" w:name="_Toc1611"/>
      <w:bookmarkStart w:id="158" w:name="_Toc6830"/>
      <w:bookmarkStart w:id="159" w:name="_Toc5294"/>
      <w:bookmarkStart w:id="160" w:name="_Toc26996"/>
      <w:r>
        <w:rPr>
          <w:rFonts w:hint="eastAsia" w:ascii="楷体" w:hAnsi="楷体" w:eastAsia="楷体" w:cs="楷体"/>
          <w:b w:val="0"/>
          <w:bCs w:val="0"/>
          <w:snapToGrid w:val="0"/>
          <w:sz w:val="32"/>
          <w:szCs w:val="32"/>
          <w:lang w:val="zh-CN" w:eastAsia="zh-CN"/>
        </w:rPr>
        <w:t>（十）</w:t>
      </w:r>
      <w:bookmarkStart w:id="161" w:name="(十)其他应急保障"/>
      <w:bookmarkEnd w:id="161"/>
      <w:r>
        <w:rPr>
          <w:rFonts w:hint="eastAsia" w:ascii="楷体" w:hAnsi="楷体" w:eastAsia="楷体" w:cs="楷体"/>
          <w:b w:val="0"/>
          <w:bCs w:val="0"/>
          <w:snapToGrid w:val="0"/>
          <w:sz w:val="32"/>
          <w:szCs w:val="32"/>
          <w:lang w:val="zh-CN" w:eastAsia="zh-CN"/>
        </w:rPr>
        <w:t>其他应急保障</w:t>
      </w:r>
      <w:bookmarkEnd w:id="157"/>
      <w:bookmarkEnd w:id="158"/>
      <w:bookmarkEnd w:id="159"/>
      <w:bookmarkEnd w:id="160"/>
    </w:p>
    <w:p w14:paraId="255B0E81">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snapToGrid w:val="0"/>
        </w:rPr>
      </w:pPr>
      <w:r>
        <w:rPr>
          <w:rFonts w:hint="eastAsia" w:ascii="仿宋" w:hAnsi="仿宋" w:eastAsia="仿宋" w:cs="仿宋"/>
          <w:b/>
          <w:bCs/>
          <w:snapToGrid w:val="0"/>
          <w:lang w:val="en-US" w:eastAsia="zh-CN"/>
        </w:rPr>
        <w:t>1.</w:t>
      </w:r>
      <w:r>
        <w:rPr>
          <w:rFonts w:hint="eastAsia" w:ascii="仿宋" w:hAnsi="仿宋" w:eastAsia="仿宋" w:cs="仿宋"/>
          <w:b/>
          <w:bCs/>
          <w:snapToGrid w:val="0"/>
        </w:rPr>
        <w:t>建筑工程安全技术保障。</w:t>
      </w:r>
      <w:r>
        <w:rPr>
          <w:rFonts w:hint="eastAsia" w:ascii="仿宋" w:hAnsi="仿宋" w:eastAsia="仿宋" w:cs="仿宋"/>
          <w:snapToGrid w:val="0"/>
          <w:lang w:eastAsia="zh-CN"/>
        </w:rPr>
        <w:t>区住建局</w:t>
      </w:r>
      <w:r>
        <w:rPr>
          <w:rFonts w:hint="eastAsia" w:ascii="仿宋" w:hAnsi="仿宋" w:eastAsia="仿宋" w:cs="仿宋"/>
          <w:snapToGrid w:val="0"/>
        </w:rPr>
        <w:t>应关注国内建筑工程技术的发展趋势，组织科研单位和建筑施工企业，对先进技术进行研究，结合本区的实际需要，适时对现有建筑施工安全相关的设备、设施及专业抢修装备进行更新，培养高素质的运行管理人员和应急抢修人员，不断提高本区建筑工程突发事故应急处置能力。</w:t>
      </w:r>
    </w:p>
    <w:p w14:paraId="3148272F">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snapToGrid w:val="0"/>
          <w:lang w:val="en-US" w:eastAsia="zh-CN"/>
        </w:rPr>
      </w:pPr>
      <w:r>
        <w:rPr>
          <w:rFonts w:hint="eastAsia" w:ascii="仿宋" w:hAnsi="仿宋" w:eastAsia="仿宋" w:cs="仿宋"/>
          <w:b/>
          <w:bCs/>
          <w:snapToGrid w:val="0"/>
          <w:lang w:val="en-US" w:eastAsia="zh-CN"/>
        </w:rPr>
        <w:t>2.指挥系统技术保障。</w:t>
      </w:r>
      <w:r>
        <w:rPr>
          <w:rFonts w:hint="eastAsia" w:ascii="仿宋" w:hAnsi="仿宋" w:eastAsia="仿宋" w:cs="仿宋"/>
          <w:snapToGrid w:val="0"/>
          <w:lang w:val="en-US" w:eastAsia="zh-CN"/>
        </w:rPr>
        <w:t>加强应急指挥体系建设，以建立集通信网络、调度指挥中心、移动指挥平台为一体的通信指挥体系，提高建筑工程突发事故应急指挥系统与专业处置队伍的应急通信质量。</w:t>
      </w:r>
    </w:p>
    <w:p w14:paraId="3813F20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b/>
          <w:snapToGrid w:val="0"/>
          <w:sz w:val="35"/>
        </w:rPr>
      </w:pPr>
      <w:bookmarkStart w:id="162" w:name="_Toc13869"/>
      <w:bookmarkStart w:id="163" w:name="_Toc10546"/>
      <w:bookmarkStart w:id="164" w:name="_Toc18998"/>
      <w:bookmarkStart w:id="165" w:name="_Toc23186"/>
      <w:r>
        <w:rPr>
          <w:rFonts w:hint="eastAsia"/>
          <w:snapToGrid w:val="0"/>
        </w:rPr>
        <w:t>九</w:t>
      </w:r>
      <w:r>
        <w:rPr>
          <w:snapToGrid w:val="0"/>
        </w:rPr>
        <w:t>、附则</w:t>
      </w:r>
      <w:bookmarkEnd w:id="162"/>
      <w:bookmarkEnd w:id="163"/>
      <w:bookmarkEnd w:id="164"/>
      <w:bookmarkEnd w:id="165"/>
    </w:p>
    <w:p w14:paraId="70386947">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lang w:val="zh-CN" w:eastAsia="zh-CN"/>
        </w:rPr>
      </w:pPr>
      <w:bookmarkStart w:id="166" w:name="_Toc16744"/>
      <w:bookmarkStart w:id="167" w:name="_Toc30616"/>
      <w:bookmarkStart w:id="168" w:name="_Toc5024"/>
      <w:bookmarkStart w:id="169" w:name="_Toc25168"/>
      <w:r>
        <w:rPr>
          <w:rFonts w:hint="eastAsia" w:ascii="楷体" w:hAnsi="楷体" w:eastAsia="楷体" w:cs="楷体"/>
          <w:b w:val="0"/>
          <w:bCs w:val="0"/>
          <w:snapToGrid w:val="0"/>
          <w:sz w:val="32"/>
          <w:szCs w:val="32"/>
          <w:lang w:val="zh-CN" w:eastAsia="zh-CN"/>
        </w:rPr>
        <w:t>（一）预案管理</w:t>
      </w:r>
      <w:bookmarkEnd w:id="166"/>
      <w:bookmarkEnd w:id="167"/>
      <w:bookmarkEnd w:id="168"/>
      <w:bookmarkEnd w:id="169"/>
    </w:p>
    <w:p w14:paraId="3F2BC33A">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snapToGrid w:val="0"/>
          <w:color w:val="auto"/>
        </w:rPr>
      </w:pPr>
      <w:r>
        <w:rPr>
          <w:rFonts w:hint="eastAsia" w:ascii="仿宋" w:hAnsi="仿宋" w:eastAsia="仿宋" w:cs="仿宋"/>
          <w:snapToGrid w:val="0"/>
          <w:color w:val="auto"/>
        </w:rPr>
        <w:t>本预案由</w:t>
      </w:r>
      <w:r>
        <w:rPr>
          <w:rFonts w:hint="eastAsia" w:ascii="仿宋" w:hAnsi="仿宋" w:eastAsia="仿宋" w:cs="仿宋"/>
          <w:snapToGrid w:val="0"/>
          <w:color w:val="auto"/>
          <w:lang w:eastAsia="zh-CN"/>
        </w:rPr>
        <w:t>区住建局</w:t>
      </w:r>
      <w:r>
        <w:rPr>
          <w:rFonts w:hint="eastAsia" w:ascii="仿宋" w:hAnsi="仿宋" w:eastAsia="仿宋" w:cs="仿宋"/>
          <w:snapToGrid w:val="0"/>
          <w:color w:val="auto"/>
        </w:rPr>
        <w:t>负责牵头制订，经区政府审议通过后</w:t>
      </w:r>
      <w:r>
        <w:rPr>
          <w:rFonts w:hint="eastAsia" w:ascii="仿宋" w:hAnsi="仿宋" w:eastAsia="仿宋" w:cs="仿宋"/>
          <w:snapToGrid w:val="0"/>
          <w:color w:val="auto"/>
          <w:lang w:eastAsia="zh-CN"/>
        </w:rPr>
        <w:t>，由</w:t>
      </w:r>
      <w:r>
        <w:rPr>
          <w:rFonts w:hint="eastAsia" w:ascii="仿宋" w:hAnsi="仿宋" w:eastAsia="仿宋" w:cs="仿宋"/>
          <w:snapToGrid w:val="0"/>
          <w:color w:val="auto"/>
        </w:rPr>
        <w:t>区政府印发执行。并根据</w:t>
      </w:r>
      <w:r>
        <w:rPr>
          <w:rFonts w:hint="eastAsia" w:ascii="仿宋" w:hAnsi="仿宋" w:eastAsia="仿宋" w:cs="仿宋"/>
          <w:snapToGrid w:val="0"/>
          <w:color w:val="auto"/>
          <w:lang w:eastAsia="zh-CN"/>
        </w:rPr>
        <w:t>法律法规</w:t>
      </w:r>
      <w:r>
        <w:rPr>
          <w:rFonts w:hint="eastAsia" w:ascii="仿宋" w:hAnsi="仿宋" w:eastAsia="仿宋" w:cs="仿宋"/>
          <w:snapToGrid w:val="0"/>
          <w:color w:val="auto"/>
        </w:rPr>
        <w:t>和国家、省、区的要求及全区建筑工程安全生产实际，每3年组织相关专家对预案可行性进行一次评审，</w:t>
      </w:r>
      <w:r>
        <w:rPr>
          <w:rFonts w:hint="eastAsia" w:ascii="仿宋" w:hAnsi="仿宋" w:eastAsia="仿宋" w:cs="仿宋"/>
          <w:snapToGrid w:val="0"/>
          <w:color w:val="auto"/>
          <w:highlight w:val="yellow"/>
        </w:rPr>
        <w:t>结合实战演练</w:t>
      </w:r>
      <w:r>
        <w:rPr>
          <w:rFonts w:hint="eastAsia" w:ascii="仿宋" w:hAnsi="仿宋" w:eastAsia="仿宋" w:cs="仿宋"/>
          <w:snapToGrid w:val="0"/>
          <w:color w:val="auto"/>
          <w:highlight w:val="yellow"/>
          <w:lang w:eastAsia="zh-CN"/>
        </w:rPr>
        <w:t>做</w:t>
      </w:r>
      <w:r>
        <w:rPr>
          <w:rFonts w:hint="eastAsia" w:ascii="仿宋" w:hAnsi="仿宋" w:eastAsia="仿宋" w:cs="仿宋"/>
          <w:snapToGrid w:val="0"/>
          <w:color w:val="auto"/>
          <w:highlight w:val="yellow"/>
        </w:rPr>
        <w:t>进一步修订、补充、完善，</w:t>
      </w:r>
      <w:r>
        <w:commentReference w:id="0"/>
      </w:r>
      <w:r>
        <w:rPr>
          <w:rFonts w:hint="eastAsia" w:ascii="仿宋" w:hAnsi="仿宋" w:eastAsia="仿宋" w:cs="仿宋"/>
          <w:snapToGrid w:val="0"/>
          <w:color w:val="auto"/>
        </w:rPr>
        <w:t>当出现以下情形时可开展修订工作：</w:t>
      </w:r>
    </w:p>
    <w:p w14:paraId="0CED5A6C">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rPr>
      </w:pPr>
      <w:r>
        <w:rPr>
          <w:rFonts w:hint="eastAsia" w:ascii="仿宋" w:hAnsi="仿宋" w:eastAsia="仿宋" w:cs="仿宋"/>
          <w:snapToGrid w:val="0"/>
          <w:lang w:val="en-US" w:eastAsia="zh-CN"/>
        </w:rPr>
        <w:t>1.</w:t>
      </w:r>
      <w:r>
        <w:rPr>
          <w:rFonts w:hint="eastAsia" w:ascii="仿宋" w:hAnsi="仿宋" w:eastAsia="仿宋" w:cs="仿宋"/>
          <w:snapToGrid w:val="0"/>
        </w:rPr>
        <w:t>有关法律、行政法规、规章、标准、上位预案中的有关规定发生变化的；</w:t>
      </w:r>
    </w:p>
    <w:p w14:paraId="08B28641">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2.应急指挥机构及其职责发生重大调整的；</w:t>
      </w:r>
    </w:p>
    <w:p w14:paraId="43D514C0">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3.面临的风险发生重大变化的；</w:t>
      </w:r>
    </w:p>
    <w:p w14:paraId="6089D8DF">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4.重要应急资源发生重大变化的；</w:t>
      </w:r>
    </w:p>
    <w:p w14:paraId="2351DC06">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5.预案中的其他重要信息发生变化的；</w:t>
      </w:r>
    </w:p>
    <w:p w14:paraId="16729312">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6.在突发事件实际应对和应急演练中发现问题需要做出重大调整的；</w:t>
      </w:r>
      <w:bookmarkStart w:id="199" w:name="_GoBack"/>
      <w:bookmarkEnd w:id="199"/>
    </w:p>
    <w:p w14:paraId="4480D88E">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7.应急预案制定单位认为应当修订的其他情况。</w:t>
      </w:r>
    </w:p>
    <w:p w14:paraId="290AC01E">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辖区内建筑企业根据本预案，结合工作实际，制定本单位的应急预案，报区住建局备案。</w:t>
      </w:r>
      <w:bookmarkStart w:id="170" w:name="_Toc702"/>
      <w:bookmarkStart w:id="171" w:name="_Toc19661"/>
      <w:bookmarkStart w:id="172" w:name="_Toc22393"/>
    </w:p>
    <w:p w14:paraId="16A92C2E">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lang w:val="zh-CN" w:eastAsia="zh-CN"/>
        </w:rPr>
      </w:pPr>
      <w:bookmarkStart w:id="173" w:name="_Toc21446"/>
      <w:r>
        <w:rPr>
          <w:rFonts w:hint="eastAsia" w:ascii="楷体" w:hAnsi="楷体" w:eastAsia="楷体" w:cs="楷体"/>
          <w:b w:val="0"/>
          <w:bCs w:val="0"/>
          <w:snapToGrid w:val="0"/>
          <w:sz w:val="32"/>
          <w:szCs w:val="32"/>
          <w:lang w:val="zh-CN" w:eastAsia="zh-CN"/>
        </w:rPr>
        <w:t>（二）责任与奖惩</w:t>
      </w:r>
      <w:bookmarkEnd w:id="170"/>
      <w:bookmarkEnd w:id="171"/>
      <w:bookmarkEnd w:id="172"/>
      <w:bookmarkEnd w:id="173"/>
    </w:p>
    <w:p w14:paraId="73109BE7">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rPr>
      </w:pPr>
      <w:r>
        <w:rPr>
          <w:rFonts w:hint="eastAsia" w:ascii="仿宋" w:hAnsi="仿宋" w:eastAsia="仿宋" w:cs="仿宋"/>
          <w:snapToGrid w:val="0"/>
          <w:lang w:val="en-US" w:eastAsia="zh-CN"/>
        </w:rPr>
        <w:t>1.</w:t>
      </w:r>
      <w:r>
        <w:rPr>
          <w:rFonts w:hint="eastAsia" w:ascii="仿宋" w:hAnsi="仿宋" w:eastAsia="仿宋" w:cs="仿宋"/>
          <w:snapToGrid w:val="0"/>
        </w:rPr>
        <w:t>建筑工程安全事故的应急救援工作实行行政领导负责制和责任追究制。由区应急</w:t>
      </w:r>
      <w:r>
        <w:rPr>
          <w:rFonts w:hint="eastAsia" w:ascii="仿宋" w:hAnsi="仿宋" w:eastAsia="仿宋" w:cs="仿宋"/>
          <w:snapToGrid w:val="0"/>
          <w:lang w:val="en-US" w:eastAsia="zh-CN"/>
        </w:rPr>
        <w:t>指挥部</w:t>
      </w:r>
      <w:r>
        <w:rPr>
          <w:rFonts w:hint="eastAsia" w:ascii="仿宋" w:hAnsi="仿宋" w:eastAsia="仿宋" w:cs="仿宋"/>
          <w:snapToGrid w:val="0"/>
        </w:rPr>
        <w:t>办公</w:t>
      </w:r>
      <w:r>
        <w:rPr>
          <w:rFonts w:hint="eastAsia" w:ascii="仿宋" w:hAnsi="仿宋" w:eastAsia="仿宋" w:cs="仿宋"/>
          <w:snapToGrid w:val="0"/>
          <w:color w:val="auto"/>
        </w:rPr>
        <w:t>室会同区纪检监察部门对建筑工程安全事故应急救援工作全过程依法实施监督。</w:t>
      </w:r>
    </w:p>
    <w:p w14:paraId="5F39D9CA">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2.区安防委对在应急管理和应急救援工作中做出突出贡献的先进单位和个人及时给予表彰和奖励。</w:t>
      </w:r>
    </w:p>
    <w:p w14:paraId="4964F160">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snapToGrid w:val="0"/>
          <w:lang w:val="en-US" w:eastAsia="zh-CN"/>
        </w:rPr>
      </w:pPr>
      <w:r>
        <w:rPr>
          <w:rFonts w:hint="eastAsia" w:ascii="仿宋" w:hAnsi="仿宋" w:eastAsia="仿宋" w:cs="仿宋"/>
          <w:snapToGrid w:val="0"/>
          <w:lang w:val="en-US" w:eastAsia="zh-CN"/>
        </w:rPr>
        <w:t>3.对不报、迟报、谎报、瞒报和漏报重要情况或有其他失职、渎职行为的，依法对直接责任人和其他责任人给予行政处分；涉嫌犯罪的，依法移交司法机关追究刑事责任。</w:t>
      </w:r>
    </w:p>
    <w:p w14:paraId="408CC54B">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lang w:val="zh-CN" w:eastAsia="zh-CN"/>
        </w:rPr>
      </w:pPr>
      <w:bookmarkStart w:id="174" w:name="_Toc5339"/>
      <w:bookmarkStart w:id="175" w:name="_Toc26620"/>
      <w:bookmarkStart w:id="176" w:name="_Toc8000"/>
      <w:bookmarkStart w:id="177" w:name="_Toc2181"/>
      <w:r>
        <w:rPr>
          <w:rFonts w:hint="eastAsia" w:ascii="楷体" w:hAnsi="楷体" w:eastAsia="楷体" w:cs="楷体"/>
          <w:b w:val="0"/>
          <w:bCs w:val="0"/>
          <w:snapToGrid w:val="0"/>
          <w:sz w:val="32"/>
          <w:szCs w:val="32"/>
          <w:lang w:val="zh-CN" w:eastAsia="zh-CN"/>
        </w:rPr>
        <w:t>（三）预案解释</w:t>
      </w:r>
      <w:bookmarkEnd w:id="174"/>
      <w:bookmarkEnd w:id="175"/>
      <w:bookmarkEnd w:id="176"/>
      <w:bookmarkEnd w:id="177"/>
    </w:p>
    <w:p w14:paraId="7379AAC8">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b w:val="0"/>
          <w:bCs w:val="0"/>
          <w:snapToGrid w:val="0"/>
          <w:lang w:val="en-US"/>
        </w:rPr>
      </w:pPr>
      <w:r>
        <w:rPr>
          <w:rFonts w:hint="eastAsia" w:ascii="仿宋" w:hAnsi="仿宋" w:eastAsia="仿宋" w:cs="仿宋"/>
          <w:b w:val="0"/>
          <w:bCs w:val="0"/>
          <w:snapToGrid w:val="0"/>
        </w:rPr>
        <w:t>本预案由</w:t>
      </w:r>
      <w:r>
        <w:rPr>
          <w:rFonts w:hint="eastAsia" w:ascii="仿宋" w:hAnsi="仿宋" w:eastAsia="仿宋" w:cs="仿宋"/>
          <w:b w:val="0"/>
          <w:bCs w:val="0"/>
          <w:snapToGrid w:val="0"/>
          <w:lang w:eastAsia="zh-CN"/>
        </w:rPr>
        <w:t>区住建局</w:t>
      </w:r>
      <w:r>
        <w:rPr>
          <w:rFonts w:hint="eastAsia" w:ascii="仿宋" w:hAnsi="仿宋" w:eastAsia="仿宋" w:cs="仿宋"/>
          <w:b w:val="0"/>
          <w:bCs w:val="0"/>
          <w:snapToGrid w:val="0"/>
        </w:rPr>
        <w:t>负责解释。</w:t>
      </w:r>
    </w:p>
    <w:p w14:paraId="1D99A103">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auto"/>
        <w:rPr>
          <w:rFonts w:hint="eastAsia" w:ascii="楷体" w:hAnsi="楷体" w:eastAsia="楷体" w:cs="楷体"/>
          <w:b w:val="0"/>
          <w:bCs w:val="0"/>
          <w:snapToGrid w:val="0"/>
          <w:sz w:val="32"/>
          <w:szCs w:val="32"/>
          <w:lang w:val="zh-CN" w:eastAsia="zh-CN"/>
        </w:rPr>
      </w:pPr>
      <w:bookmarkStart w:id="178" w:name="_Toc9553"/>
      <w:bookmarkStart w:id="179" w:name="_Toc8811"/>
      <w:bookmarkStart w:id="180" w:name="_Toc19170"/>
      <w:bookmarkStart w:id="181" w:name="_Toc5729"/>
      <w:r>
        <w:rPr>
          <w:rFonts w:hint="eastAsia" w:ascii="楷体" w:hAnsi="楷体" w:eastAsia="楷体" w:cs="楷体"/>
          <w:b w:val="0"/>
          <w:bCs w:val="0"/>
          <w:snapToGrid w:val="0"/>
          <w:sz w:val="32"/>
          <w:szCs w:val="32"/>
          <w:lang w:val="zh-CN" w:eastAsia="zh-CN"/>
        </w:rPr>
        <w:t>（四）</w:t>
      </w:r>
      <w:bookmarkStart w:id="182" w:name="(四)预案生效日期"/>
      <w:bookmarkEnd w:id="182"/>
      <w:r>
        <w:rPr>
          <w:rFonts w:hint="eastAsia" w:ascii="楷体" w:hAnsi="楷体" w:eastAsia="楷体" w:cs="楷体"/>
          <w:b w:val="0"/>
          <w:bCs w:val="0"/>
          <w:snapToGrid w:val="0"/>
          <w:sz w:val="32"/>
          <w:szCs w:val="32"/>
          <w:lang w:val="zh-CN" w:eastAsia="zh-CN"/>
        </w:rPr>
        <w:t>预案生效日期</w:t>
      </w:r>
      <w:bookmarkEnd w:id="178"/>
      <w:bookmarkEnd w:id="179"/>
      <w:bookmarkEnd w:id="180"/>
      <w:bookmarkEnd w:id="181"/>
    </w:p>
    <w:p w14:paraId="37B1E0B3">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b w:val="0"/>
          <w:bCs w:val="0"/>
          <w:snapToGrid w:val="0"/>
        </w:rPr>
      </w:pPr>
      <w:r>
        <w:rPr>
          <w:rFonts w:hint="eastAsia" w:ascii="仿宋" w:hAnsi="仿宋" w:eastAsia="仿宋" w:cs="仿宋"/>
          <w:b w:val="0"/>
          <w:bCs w:val="0"/>
          <w:snapToGrid w:val="0"/>
        </w:rPr>
        <w:t>本预案自发布之日起施行。</w:t>
      </w:r>
    </w:p>
    <w:p w14:paraId="42327FB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黑体" w:hAnsi="黑体" w:eastAsia="黑体" w:cs="黑体"/>
          <w:snapToGrid w:val="0"/>
          <w:color w:val="auto"/>
          <w:lang w:eastAsia="zh-CN"/>
        </w:rPr>
      </w:pPr>
      <w:bookmarkStart w:id="183" w:name="_Toc23174"/>
      <w:r>
        <w:rPr>
          <w:rFonts w:hint="eastAsia"/>
          <w:snapToGrid w:val="0"/>
          <w:lang w:eastAsia="zh-CN"/>
        </w:rPr>
        <w:t>十、附件</w:t>
      </w:r>
      <w:bookmarkEnd w:id="183"/>
    </w:p>
    <w:p w14:paraId="36F4795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sz w:val="32"/>
          <w:szCs w:val="32"/>
          <w:highlight w:val="none"/>
          <w:lang w:val="zh-CN" w:eastAsia="zh-CN"/>
        </w:rPr>
      </w:pPr>
      <w:r>
        <w:rPr>
          <w:rFonts w:hint="eastAsia" w:ascii="仿宋" w:hAnsi="仿宋" w:eastAsia="仿宋" w:cs="仿宋"/>
          <w:snapToGrid w:val="0"/>
          <w:sz w:val="32"/>
          <w:szCs w:val="32"/>
          <w:highlight w:val="none"/>
          <w:lang w:val="en-US" w:eastAsia="zh-CN"/>
        </w:rPr>
        <w:t>附件：1.</w:t>
      </w:r>
      <w:r>
        <w:rPr>
          <w:rFonts w:hint="eastAsia" w:ascii="仿宋" w:hAnsi="仿宋" w:eastAsia="仿宋" w:cs="仿宋"/>
          <w:snapToGrid w:val="0"/>
          <w:sz w:val="32"/>
          <w:szCs w:val="32"/>
          <w:highlight w:val="none"/>
          <w:lang w:val="zh-CN" w:eastAsia="zh-CN"/>
        </w:rPr>
        <w:t>建筑工程抢险快报表</w:t>
      </w:r>
    </w:p>
    <w:p w14:paraId="4138DA66">
      <w:pPr>
        <w:keepNext w:val="0"/>
        <w:keepLines w:val="0"/>
        <w:pageBreakBefore w:val="0"/>
        <w:widowControl w:val="0"/>
        <w:kinsoku/>
        <w:wordWrap/>
        <w:overflowPunct/>
        <w:topLinePunct w:val="0"/>
        <w:autoSpaceDE w:val="0"/>
        <w:autoSpaceDN w:val="0"/>
        <w:bidi w:val="0"/>
        <w:adjustRightInd w:val="0"/>
        <w:snapToGrid w:val="0"/>
        <w:spacing w:line="560" w:lineRule="exact"/>
        <w:ind w:firstLine="1600" w:firstLineChars="500"/>
        <w:jc w:val="both"/>
        <w:textAlignment w:val="auto"/>
        <w:rPr>
          <w:rFonts w:hint="eastAsia" w:ascii="仿宋" w:hAnsi="仿宋" w:eastAsia="仿宋" w:cs="仿宋"/>
          <w:snapToGrid w:val="0"/>
          <w:sz w:val="32"/>
          <w:szCs w:val="32"/>
          <w:highlight w:val="none"/>
          <w:lang w:val="zh-CN" w:eastAsia="zh-CN"/>
        </w:rPr>
      </w:pPr>
      <w:r>
        <w:rPr>
          <w:rFonts w:hint="eastAsia" w:ascii="仿宋" w:hAnsi="仿宋" w:eastAsia="仿宋" w:cs="仿宋"/>
          <w:snapToGrid w:val="0"/>
          <w:sz w:val="32"/>
          <w:szCs w:val="32"/>
          <w:highlight w:val="none"/>
          <w:lang w:val="en-US" w:eastAsia="zh-CN"/>
        </w:rPr>
        <w:t>2.</w:t>
      </w:r>
      <w:r>
        <w:rPr>
          <w:rFonts w:hint="eastAsia" w:ascii="仿宋" w:hAnsi="仿宋" w:eastAsia="仿宋" w:cs="仿宋"/>
          <w:snapToGrid w:val="0"/>
          <w:sz w:val="32"/>
          <w:szCs w:val="32"/>
          <w:highlight w:val="none"/>
          <w:lang w:val="zh-CN" w:eastAsia="zh-CN"/>
        </w:rPr>
        <w:t>建筑工程抢险信息发布审批表</w:t>
      </w:r>
    </w:p>
    <w:p w14:paraId="655557E3">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lang w:val="zh-CN" w:eastAsia="zh-CN"/>
        </w:rPr>
      </w:pPr>
    </w:p>
    <w:p w14:paraId="60F7152F">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lang w:val="zh-CN" w:eastAsia="zh-CN"/>
        </w:rPr>
      </w:pPr>
    </w:p>
    <w:p w14:paraId="11AA5923">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lang w:val="zh-CN" w:eastAsia="zh-CN"/>
        </w:rPr>
      </w:pPr>
    </w:p>
    <w:p w14:paraId="170A2332">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lang w:val="zh-CN" w:eastAsia="zh-CN"/>
        </w:rPr>
      </w:pPr>
    </w:p>
    <w:p w14:paraId="3ED219B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32"/>
          <w:szCs w:val="32"/>
          <w:lang w:val="en-US" w:eastAsia="zh-CN"/>
        </w:rPr>
      </w:pPr>
    </w:p>
    <w:p w14:paraId="6B495B68">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0" w:firstLineChars="0"/>
        <w:jc w:val="both"/>
        <w:textAlignment w:val="auto"/>
        <w:rPr>
          <w:rFonts w:hint="eastAsia" w:ascii="黑体" w:hAnsi="黑体" w:eastAsia="黑体" w:cs="黑体"/>
          <w:b w:val="0"/>
          <w:bCs w:val="0"/>
          <w:sz w:val="32"/>
          <w:szCs w:val="32"/>
          <w:lang w:val="en-US" w:eastAsia="zh-CN"/>
        </w:rPr>
      </w:pPr>
      <w:bookmarkStart w:id="184" w:name="_Toc8714"/>
      <w:r>
        <w:rPr>
          <w:rFonts w:hint="eastAsia" w:ascii="黑体" w:hAnsi="黑体" w:eastAsia="黑体" w:cs="黑体"/>
          <w:b w:val="0"/>
          <w:bCs w:val="0"/>
          <w:sz w:val="32"/>
          <w:szCs w:val="32"/>
          <w:lang w:val="en-US" w:eastAsia="zh-CN"/>
        </w:rPr>
        <w:t>附件1</w:t>
      </w:r>
      <w:bookmarkEnd w:id="184"/>
    </w:p>
    <w:p w14:paraId="79EE898A">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5668FF20">
      <w:pPr>
        <w:pStyle w:val="3"/>
        <w:bidi w:val="0"/>
        <w:jc w:val="center"/>
        <w:rPr>
          <w:rFonts w:hint="eastAsia" w:ascii="方正小标宋简体" w:hAnsi="方正小标宋简体" w:eastAsia="方正小标宋简体" w:cs="方正小标宋简体"/>
          <w:b w:val="0"/>
          <w:bCs w:val="0"/>
          <w:sz w:val="44"/>
          <w:szCs w:val="40"/>
          <w:lang w:val="zh-CN" w:eastAsia="zh-CN"/>
        </w:rPr>
      </w:pPr>
      <w:bookmarkStart w:id="185" w:name="(一)建筑工程抢险快报表"/>
      <w:bookmarkEnd w:id="185"/>
      <w:bookmarkStart w:id="186" w:name="_Toc10216"/>
      <w:bookmarkStart w:id="187" w:name="_Toc2791"/>
      <w:bookmarkStart w:id="188" w:name="_Toc14406"/>
      <w:bookmarkStart w:id="189" w:name="_Toc31276"/>
      <w:r>
        <w:rPr>
          <w:rFonts w:hint="eastAsia" w:ascii="方正小标宋简体" w:hAnsi="方正小标宋简体" w:eastAsia="方正小标宋简体" w:cs="方正小标宋简体"/>
          <w:b w:val="0"/>
          <w:bCs w:val="0"/>
          <w:sz w:val="44"/>
          <w:szCs w:val="40"/>
          <w:lang w:val="zh-CN" w:eastAsia="zh-CN"/>
        </w:rPr>
        <w:t>建筑工程抢险快报表</w:t>
      </w:r>
      <w:bookmarkEnd w:id="186"/>
      <w:bookmarkEnd w:id="187"/>
      <w:bookmarkEnd w:id="188"/>
      <w:bookmarkEnd w:id="189"/>
    </w:p>
    <w:p w14:paraId="02E106B2">
      <w:pPr>
        <w:ind w:left="240"/>
        <w:rPr>
          <w:rFonts w:hint="eastAsia" w:ascii="仿宋_GB2312" w:hAnsi="仿宋_GB2312" w:eastAsia="仿宋_GB2312" w:cs="仿宋_GB2312"/>
          <w:sz w:val="6"/>
        </w:rPr>
      </w:pPr>
      <w:r>
        <w:rPr>
          <w:rFonts w:hint="eastAsia" w:ascii="仿宋_GB2312" w:hAnsi="仿宋_GB2312" w:eastAsia="仿宋_GB2312" w:cs="仿宋_GB2312"/>
          <w:sz w:val="24"/>
        </w:rPr>
        <w:t>报送单位（盖章</w:t>
      </w:r>
      <w:r>
        <w:rPr>
          <w:rFonts w:hint="eastAsia" w:ascii="仿宋_GB2312" w:hAnsi="仿宋_GB2312" w:eastAsia="仿宋_GB2312" w:cs="仿宋_GB2312"/>
          <w:spacing w:val="-120"/>
          <w:sz w:val="24"/>
        </w:rPr>
        <w:t>）</w:t>
      </w:r>
      <w:r>
        <w:rPr>
          <w:rFonts w:hint="eastAsia" w:ascii="仿宋_GB2312" w:hAnsi="仿宋_GB2312" w:eastAsia="仿宋_GB2312" w:cs="仿宋_GB2312"/>
          <w:sz w:val="24"/>
        </w:rPr>
        <w:t>：</w:t>
      </w:r>
    </w:p>
    <w:tbl>
      <w:tblPr>
        <w:tblStyle w:val="14"/>
        <w:tblW w:w="0" w:type="auto"/>
        <w:tblInd w:w="14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110"/>
      </w:tblGrid>
      <w:tr w14:paraId="20101B7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48" w:hRule="atLeast"/>
        </w:trPr>
        <w:tc>
          <w:tcPr>
            <w:tcW w:w="9110" w:type="dxa"/>
            <w:tcBorders>
              <w:bottom w:val="single" w:color="000000" w:sz="4" w:space="0"/>
            </w:tcBorders>
          </w:tcPr>
          <w:p w14:paraId="0DCA9842">
            <w:pPr>
              <w:pStyle w:val="19"/>
              <w:rPr>
                <w:rFonts w:hint="eastAsia" w:ascii="仿宋_GB2312" w:hAnsi="仿宋_GB2312" w:eastAsia="仿宋_GB2312" w:cs="仿宋_GB2312"/>
                <w:sz w:val="26"/>
              </w:rPr>
            </w:pPr>
          </w:p>
          <w:p w14:paraId="303FDB4B">
            <w:pPr>
              <w:pStyle w:val="19"/>
              <w:tabs>
                <w:tab w:val="left" w:pos="2507"/>
                <w:tab w:val="left" w:pos="3467"/>
                <w:tab w:val="left" w:pos="4427"/>
                <w:tab w:val="left" w:pos="5387"/>
                <w:tab w:val="left" w:pos="6347"/>
              </w:tabs>
              <w:spacing w:before="217"/>
              <w:ind w:left="107"/>
              <w:rPr>
                <w:rFonts w:hint="eastAsia" w:ascii="仿宋_GB2312" w:hAnsi="仿宋_GB2312" w:eastAsia="仿宋_GB2312" w:cs="仿宋_GB2312"/>
                <w:sz w:val="24"/>
              </w:rPr>
            </w:pPr>
            <w:r>
              <w:rPr>
                <w:rFonts w:hint="eastAsia" w:ascii="仿宋_GB2312" w:hAnsi="仿宋_GB2312" w:eastAsia="仿宋_GB2312" w:cs="仿宋_GB2312"/>
                <w:sz w:val="24"/>
              </w:rPr>
              <w:t>事件发生时间：</w:t>
            </w:r>
            <w:r>
              <w:rPr>
                <w:rFonts w:hint="eastAsia" w:ascii="仿宋_GB2312" w:hAnsi="仿宋_GB2312" w:eastAsia="仿宋_GB2312" w:cs="仿宋_GB2312"/>
                <w:sz w:val="24"/>
                <w:u w:val="single"/>
              </w:rPr>
              <w:tab/>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ab/>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ab/>
            </w:r>
            <w:r>
              <w:rPr>
                <w:rFonts w:hint="eastAsia" w:ascii="仿宋_GB2312" w:hAnsi="仿宋_GB2312" w:eastAsia="仿宋_GB2312" w:cs="仿宋_GB2312"/>
                <w:sz w:val="24"/>
              </w:rPr>
              <w:t>日</w:t>
            </w:r>
            <w:r>
              <w:rPr>
                <w:rFonts w:hint="eastAsia" w:ascii="仿宋_GB2312" w:hAnsi="仿宋_GB2312" w:eastAsia="仿宋_GB2312" w:cs="仿宋_GB2312"/>
                <w:sz w:val="24"/>
                <w:u w:val="single"/>
              </w:rPr>
              <w:tab/>
            </w:r>
            <w:r>
              <w:rPr>
                <w:rFonts w:hint="eastAsia" w:ascii="仿宋_GB2312" w:hAnsi="仿宋_GB2312" w:eastAsia="仿宋_GB2312" w:cs="仿宋_GB2312"/>
                <w:sz w:val="24"/>
              </w:rPr>
              <w:t>时</w:t>
            </w:r>
            <w:r>
              <w:rPr>
                <w:rFonts w:hint="eastAsia" w:ascii="仿宋_GB2312" w:hAnsi="仿宋_GB2312" w:eastAsia="仿宋_GB2312" w:cs="仿宋_GB2312"/>
                <w:sz w:val="24"/>
                <w:u w:val="single"/>
              </w:rPr>
              <w:tab/>
            </w:r>
            <w:r>
              <w:rPr>
                <w:rFonts w:hint="eastAsia" w:ascii="仿宋_GB2312" w:hAnsi="仿宋_GB2312" w:eastAsia="仿宋_GB2312" w:cs="仿宋_GB2312"/>
                <w:sz w:val="24"/>
              </w:rPr>
              <w:t>分</w:t>
            </w:r>
          </w:p>
          <w:p w14:paraId="1CCCA962">
            <w:pPr>
              <w:pStyle w:val="19"/>
              <w:tabs>
                <w:tab w:val="left" w:pos="2987"/>
                <w:tab w:val="left" w:pos="5387"/>
                <w:tab w:val="left" w:pos="6587"/>
                <w:tab w:val="left" w:pos="7847"/>
              </w:tabs>
              <w:spacing w:before="160"/>
              <w:ind w:left="107"/>
              <w:rPr>
                <w:rFonts w:hint="eastAsia" w:ascii="仿宋_GB2312" w:hAnsi="仿宋_GB2312" w:eastAsia="仿宋_GB2312" w:cs="仿宋_GB2312"/>
                <w:sz w:val="24"/>
              </w:rPr>
            </w:pPr>
            <w:r>
              <w:rPr>
                <w:rFonts w:hint="eastAsia" w:ascii="仿宋_GB2312" w:hAnsi="仿宋_GB2312" w:eastAsia="仿宋_GB2312" w:cs="仿宋_GB2312"/>
                <w:sz w:val="24"/>
              </w:rPr>
              <w:t>事件发生地点：</w:t>
            </w:r>
            <w:r>
              <w:rPr>
                <w:rFonts w:hint="eastAsia" w:ascii="仿宋_GB2312" w:hAnsi="仿宋_GB2312" w:eastAsia="仿宋_GB2312" w:cs="仿宋_GB2312"/>
                <w:sz w:val="24"/>
                <w:u w:val="single"/>
              </w:rPr>
              <w:tab/>
            </w:r>
            <w:r>
              <w:rPr>
                <w:rFonts w:hint="eastAsia" w:ascii="仿宋_GB2312" w:hAnsi="仿宋_GB2312" w:eastAsia="仿宋_GB2312" w:cs="仿宋_GB2312"/>
                <w:sz w:val="24"/>
              </w:rPr>
              <w:t>办事处</w:t>
            </w:r>
            <w:r>
              <w:rPr>
                <w:rFonts w:hint="eastAsia" w:ascii="仿宋_GB2312" w:hAnsi="仿宋_GB2312" w:eastAsia="仿宋_GB2312" w:cs="仿宋_GB2312"/>
                <w:sz w:val="24"/>
                <w:u w:val="single"/>
              </w:rPr>
              <w:tab/>
            </w:r>
            <w:r>
              <w:rPr>
                <w:rFonts w:hint="eastAsia" w:ascii="仿宋_GB2312" w:hAnsi="仿宋_GB2312" w:eastAsia="仿宋_GB2312" w:cs="仿宋_GB2312"/>
                <w:sz w:val="24"/>
              </w:rPr>
              <w:t>路</w:t>
            </w:r>
            <w:r>
              <w:rPr>
                <w:rFonts w:hint="eastAsia" w:ascii="仿宋_GB2312" w:hAnsi="仿宋_GB2312" w:eastAsia="仿宋_GB2312" w:cs="仿宋_GB2312"/>
                <w:sz w:val="24"/>
                <w:u w:val="single"/>
              </w:rPr>
              <w:tab/>
            </w:r>
            <w:r>
              <w:rPr>
                <w:rFonts w:hint="eastAsia" w:ascii="仿宋_GB2312" w:hAnsi="仿宋_GB2312" w:eastAsia="仿宋_GB2312" w:cs="仿宋_GB2312"/>
                <w:sz w:val="24"/>
              </w:rPr>
              <w:t>号</w:t>
            </w:r>
            <w:r>
              <w:rPr>
                <w:rFonts w:hint="eastAsia" w:ascii="仿宋_GB2312" w:hAnsi="仿宋_GB2312" w:eastAsia="仿宋_GB2312" w:cs="仿宋_GB2312"/>
                <w:sz w:val="24"/>
                <w:u w:val="single"/>
              </w:rPr>
              <w:tab/>
            </w:r>
          </w:p>
          <w:p w14:paraId="728AE5F9">
            <w:pPr>
              <w:pStyle w:val="19"/>
              <w:tabs>
                <w:tab w:val="left" w:pos="3361"/>
                <w:tab w:val="left" w:pos="4921"/>
                <w:tab w:val="left" w:pos="6601"/>
                <w:tab w:val="left" w:pos="8521"/>
              </w:tabs>
              <w:spacing w:before="161" w:line="364" w:lineRule="auto"/>
              <w:ind w:left="107" w:right="76"/>
              <w:rPr>
                <w:rFonts w:hint="eastAsia" w:ascii="仿宋_GB2312" w:hAnsi="仿宋_GB2312" w:eastAsia="仿宋_GB2312" w:cs="仿宋_GB2312"/>
                <w:sz w:val="24"/>
              </w:rPr>
            </w:pPr>
            <w:r>
              <w:rPr>
                <w:rFonts w:hint="eastAsia" w:ascii="仿宋_GB2312" w:hAnsi="仿宋_GB2312" w:eastAsia="仿宋_GB2312" w:cs="仿宋_GB2312"/>
                <w:sz w:val="24"/>
              </w:rPr>
              <w:t>突发事件类别</w:t>
            </w:r>
            <w:r>
              <w:rPr>
                <w:rFonts w:hint="eastAsia" w:ascii="仿宋_GB2312" w:hAnsi="仿宋_GB2312" w:eastAsia="仿宋_GB2312" w:cs="仿宋_GB2312"/>
                <w:spacing w:val="-106"/>
                <w:sz w:val="24"/>
              </w:rPr>
              <w:t>：</w:t>
            </w:r>
            <w:r>
              <w:rPr>
                <w:rFonts w:hint="eastAsia" w:ascii="仿宋_GB2312" w:hAnsi="仿宋_GB2312" w:eastAsia="仿宋_GB2312" w:cs="仿宋_GB2312"/>
                <w:sz w:val="24"/>
              </w:rPr>
              <w:t>□自然灾害</w:t>
            </w:r>
            <w:r>
              <w:rPr>
                <w:rFonts w:hint="eastAsia" w:ascii="仿宋_GB2312" w:hAnsi="仿宋_GB2312" w:eastAsia="仿宋_GB2312" w:cs="仿宋_GB2312"/>
                <w:sz w:val="24"/>
                <w:lang w:val="en-US"/>
              </w:rPr>
              <w:t xml:space="preserve"> </w:t>
            </w:r>
            <w:r>
              <w:rPr>
                <w:rFonts w:hint="eastAsia" w:ascii="仿宋_GB2312" w:hAnsi="仿宋_GB2312" w:eastAsia="仿宋_GB2312" w:cs="仿宋_GB2312"/>
                <w:sz w:val="24"/>
              </w:rPr>
              <w:t>□工程坍塌</w:t>
            </w:r>
            <w:r>
              <w:rPr>
                <w:rFonts w:hint="eastAsia" w:ascii="仿宋_GB2312" w:hAnsi="仿宋_GB2312" w:eastAsia="仿宋_GB2312" w:cs="仿宋_GB2312"/>
                <w:sz w:val="24"/>
                <w:lang w:val="en-US"/>
              </w:rPr>
              <w:t xml:space="preserve"> </w:t>
            </w:r>
            <w:r>
              <w:rPr>
                <w:rFonts w:hint="eastAsia" w:ascii="仿宋_GB2312" w:hAnsi="仿宋_GB2312" w:eastAsia="仿宋_GB2312" w:cs="仿宋_GB2312"/>
                <w:sz w:val="24"/>
              </w:rPr>
              <w:t>□基坑坍塌</w:t>
            </w:r>
            <w:r>
              <w:rPr>
                <w:rFonts w:hint="eastAsia" w:ascii="仿宋_GB2312" w:hAnsi="仿宋_GB2312" w:eastAsia="仿宋_GB2312" w:cs="仿宋_GB2312"/>
                <w:sz w:val="24"/>
                <w:lang w:val="en-US"/>
              </w:rPr>
              <w:t xml:space="preserve"> </w:t>
            </w:r>
            <w:r>
              <w:rPr>
                <w:rFonts w:hint="eastAsia" w:ascii="仿宋_GB2312" w:hAnsi="仿宋_GB2312" w:eastAsia="仿宋_GB2312" w:cs="仿宋_GB2312"/>
                <w:sz w:val="24"/>
              </w:rPr>
              <w:t>□脚手架垮塌</w:t>
            </w:r>
            <w:r>
              <w:rPr>
                <w:rFonts w:hint="eastAsia" w:ascii="仿宋_GB2312" w:hAnsi="仿宋_GB2312" w:eastAsia="仿宋_GB2312" w:cs="仿宋_GB2312"/>
                <w:sz w:val="24"/>
                <w:lang w:val="en-US"/>
              </w:rPr>
              <w:t xml:space="preserve"> </w:t>
            </w:r>
            <w:r>
              <w:rPr>
                <w:rFonts w:hint="eastAsia" w:ascii="仿宋_GB2312" w:hAnsi="仿宋_GB2312" w:eastAsia="仿宋_GB2312" w:cs="仿宋_GB2312"/>
                <w:spacing w:val="-1"/>
                <w:sz w:val="24"/>
              </w:rPr>
              <w:t>□</w:t>
            </w:r>
            <w:r>
              <w:rPr>
                <w:rFonts w:hint="eastAsia" w:ascii="仿宋_GB2312" w:hAnsi="仿宋_GB2312" w:eastAsia="仿宋_GB2312" w:cs="仿宋_GB2312"/>
                <w:spacing w:val="-16"/>
                <w:sz w:val="24"/>
              </w:rPr>
              <w:t>设</w:t>
            </w:r>
            <w:r>
              <w:rPr>
                <w:rFonts w:hint="eastAsia" w:ascii="仿宋_GB2312" w:hAnsi="仿宋_GB2312" w:eastAsia="仿宋_GB2312" w:cs="仿宋_GB2312"/>
                <w:sz w:val="24"/>
              </w:rPr>
              <w:t>备倒塌</w:t>
            </w:r>
          </w:p>
          <w:p w14:paraId="55A56556">
            <w:pPr>
              <w:pStyle w:val="19"/>
              <w:numPr>
                <w:ilvl w:val="0"/>
                <w:numId w:val="1"/>
              </w:numPr>
              <w:tabs>
                <w:tab w:val="left" w:pos="2658"/>
                <w:tab w:val="left" w:pos="2659"/>
                <w:tab w:val="left" w:pos="3529"/>
                <w:tab w:val="left" w:pos="4400"/>
                <w:tab w:val="left" w:pos="5274"/>
                <w:tab w:val="left" w:pos="6145"/>
                <w:tab w:val="left" w:pos="7016"/>
                <w:tab w:val="left" w:pos="7888"/>
                <w:tab w:val="left" w:pos="8761"/>
              </w:tabs>
              <w:spacing w:before="1"/>
              <w:rPr>
                <w:rFonts w:hint="eastAsia" w:ascii="仿宋_GB2312" w:hAnsi="仿宋_GB2312" w:eastAsia="仿宋_GB2312" w:cs="仿宋_GB2312"/>
                <w:sz w:val="24"/>
              </w:rPr>
            </w:pPr>
            <w:r>
              <w:rPr>
                <w:rFonts w:hint="eastAsia" w:ascii="仿宋_GB2312" w:hAnsi="仿宋_GB2312" w:eastAsia="仿宋_GB2312" w:cs="仿宋_GB2312"/>
                <w:sz w:val="24"/>
              </w:rPr>
              <w:t>其他（简要描述）</w:t>
            </w:r>
          </w:p>
          <w:p w14:paraId="452D7307">
            <w:pPr>
              <w:pStyle w:val="19"/>
              <w:rPr>
                <w:rFonts w:hint="eastAsia" w:ascii="仿宋_GB2312" w:hAnsi="仿宋_GB2312" w:eastAsia="仿宋_GB2312" w:cs="仿宋_GB2312"/>
                <w:sz w:val="20"/>
              </w:rPr>
            </w:pPr>
          </w:p>
          <w:p w14:paraId="7BA2A4C3">
            <w:pPr>
              <w:pStyle w:val="19"/>
              <w:spacing w:before="4" w:after="1"/>
              <w:rPr>
                <w:rFonts w:hint="eastAsia" w:ascii="仿宋_GB2312" w:hAnsi="仿宋_GB2312" w:eastAsia="仿宋_GB2312" w:cs="仿宋_GB2312"/>
                <w:sz w:val="13"/>
              </w:rPr>
            </w:pPr>
          </w:p>
          <w:p w14:paraId="2997C926">
            <w:pPr>
              <w:pStyle w:val="19"/>
              <w:spacing w:line="20" w:lineRule="exact"/>
              <w:ind w:left="104"/>
              <w:rPr>
                <w:rFonts w:hint="eastAsia" w:ascii="仿宋_GB2312" w:hAnsi="仿宋_GB2312" w:eastAsia="仿宋_GB2312" w:cs="仿宋_GB2312"/>
                <w:sz w:val="2"/>
              </w:rPr>
            </w:pPr>
            <w:r>
              <w:rPr>
                <w:rFonts w:hint="eastAsia" w:ascii="仿宋_GB2312" w:hAnsi="仿宋_GB2312" w:eastAsia="仿宋_GB2312" w:cs="仿宋_GB2312"/>
                <w:sz w:val="2"/>
              </w:rPr>
              <mc:AlternateContent>
                <mc:Choice Requires="wpg">
                  <w:drawing>
                    <wp:inline distT="0" distB="0" distL="114300" distR="114300">
                      <wp:extent cx="3733800" cy="3810"/>
                      <wp:effectExtent l="0" t="0" r="0" b="0"/>
                      <wp:docPr id="33" name="组合 2"/>
                      <wp:cNvGraphicFramePr/>
                      <a:graphic xmlns:a="http://schemas.openxmlformats.org/drawingml/2006/main">
                        <a:graphicData uri="http://schemas.microsoft.com/office/word/2010/wordprocessingGroup">
                          <wpg:wgp>
                            <wpg:cNvGrpSpPr/>
                            <wpg:grpSpPr>
                              <a:xfrm>
                                <a:off x="0" y="0"/>
                                <a:ext cx="3733800" cy="3810"/>
                                <a:chOff x="0" y="0"/>
                                <a:chExt cx="5880" cy="6"/>
                              </a:xfrm>
                            </wpg:grpSpPr>
                            <wps:wsp>
                              <wps:cNvPr id="32" name="直线 3"/>
                              <wps:cNvCnPr/>
                              <wps:spPr>
                                <a:xfrm>
                                  <a:off x="0" y="3"/>
                                  <a:ext cx="5880" cy="0"/>
                                </a:xfrm>
                                <a:prstGeom prst="line">
                                  <a:avLst/>
                                </a:prstGeom>
                                <a:ln w="3505" cap="flat" cmpd="sng">
                                  <a:solidFill>
                                    <a:srgbClr val="000000"/>
                                  </a:solidFill>
                                  <a:prstDash val="solid"/>
                                  <a:headEnd type="none" w="med" len="med"/>
                                  <a:tailEnd type="none" w="med" len="med"/>
                                </a:ln>
                              </wps:spPr>
                              <wps:bodyPr/>
                            </wps:wsp>
                          </wpg:wgp>
                        </a:graphicData>
                      </a:graphic>
                    </wp:inline>
                  </w:drawing>
                </mc:Choice>
                <mc:Fallback>
                  <w:pict>
                    <v:group id="组合 2" o:spid="_x0000_s1026" o:spt="203" style="height:0.3pt;width:294pt;" coordsize="5880,6" o:gfxdata="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UPuM10wAAAAIBAAAPAAAAAAAAAAEAIAAAACIAAABkcnMv&#10;ZG93bnJldi54bWxQSwECFAAUAAAACACHTuJAQNxbkUECAADzBAAADgAAAAAAAAABACAAAAAiAQAA&#10;ZHJzL2Uyb0RvYy54bWxQSwUGAAAAAAYABgBZAQAA1QUAAAAA&#10;">
                      <o:lock v:ext="edit" aspectratio="f"/>
                      <v:line id="直线 3" o:spid="_x0000_s1026" o:spt="20" style="position:absolute;left:0;top:3;height:0;width:5880;" filled="f" stroked="t" coordsize="21600,21600" o:gfxdata="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1VWEa/&#10;AAAA2wAAAA8AAAAAAAAAAQAgAAAAIgAAAGRycy9kb3ducmV2LnhtbFBLAQIUABQAAAAIAIdO4kAz&#10;LwWeOwAAADkAAAAQAAAAAAAAAAEAIAAAAA4BAABkcnMvc2hhcGV4bWwueG1sUEsFBgAAAAAGAAYA&#10;WwEAALgDAAAAAA==&#10;">
                        <v:fill on="f" focussize="0,0"/>
                        <v:stroke weight="0.275984251968504pt" color="#000000" joinstyle="round"/>
                        <v:imagedata o:title=""/>
                        <o:lock v:ext="edit" aspectratio="f"/>
                      </v:line>
                      <w10:wrap type="none"/>
                      <w10:anchorlock/>
                    </v:group>
                  </w:pict>
                </mc:Fallback>
              </mc:AlternateContent>
            </w:r>
          </w:p>
          <w:p w14:paraId="3F0C7778">
            <w:pPr>
              <w:pStyle w:val="19"/>
              <w:tabs>
                <w:tab w:val="left" w:pos="4427"/>
                <w:tab w:val="left" w:pos="5627"/>
              </w:tabs>
              <w:spacing w:before="181"/>
              <w:ind w:left="107"/>
              <w:rPr>
                <w:rFonts w:hint="eastAsia" w:ascii="仿宋_GB2312" w:hAnsi="仿宋_GB2312" w:eastAsia="仿宋_GB2312" w:cs="仿宋_GB2312"/>
                <w:sz w:val="24"/>
              </w:rPr>
            </w:pPr>
            <w:r>
              <w:rPr>
                <w:rFonts w:hint="eastAsia" w:ascii="仿宋_GB2312" w:hAnsi="仿宋_GB2312" w:eastAsia="仿宋_GB2312" w:cs="仿宋_GB2312"/>
                <w:sz w:val="24"/>
              </w:rPr>
              <w:t>事件影响程度：□人员伤亡情况：伤</w:t>
            </w:r>
            <w:r>
              <w:rPr>
                <w:rFonts w:hint="eastAsia" w:ascii="仿宋_GB2312" w:hAnsi="仿宋_GB2312" w:eastAsia="仿宋_GB2312" w:cs="仿宋_GB2312"/>
                <w:sz w:val="24"/>
                <w:u w:val="single"/>
              </w:rPr>
              <w:tab/>
            </w:r>
            <w:r>
              <w:rPr>
                <w:rFonts w:hint="eastAsia" w:ascii="仿宋_GB2312" w:hAnsi="仿宋_GB2312" w:eastAsia="仿宋_GB2312" w:cs="仿宋_GB2312"/>
                <w:sz w:val="24"/>
              </w:rPr>
              <w:t>人、亡</w:t>
            </w:r>
            <w:r>
              <w:rPr>
                <w:rFonts w:hint="eastAsia" w:ascii="仿宋_GB2312" w:hAnsi="仿宋_GB2312" w:eastAsia="仿宋_GB2312" w:cs="仿宋_GB2312"/>
                <w:sz w:val="24"/>
                <w:u w:val="single"/>
              </w:rPr>
              <w:tab/>
            </w:r>
            <w:r>
              <w:rPr>
                <w:rFonts w:hint="eastAsia" w:ascii="仿宋_GB2312" w:hAnsi="仿宋_GB2312" w:eastAsia="仿宋_GB2312" w:cs="仿宋_GB2312"/>
                <w:sz w:val="24"/>
              </w:rPr>
              <w:t>人</w:t>
            </w:r>
          </w:p>
          <w:p w14:paraId="5C500711">
            <w:pPr>
              <w:pStyle w:val="19"/>
              <w:numPr>
                <w:ilvl w:val="0"/>
                <w:numId w:val="1"/>
              </w:numPr>
              <w:tabs>
                <w:tab w:val="left" w:pos="2658"/>
                <w:tab w:val="left" w:pos="2659"/>
                <w:tab w:val="left" w:pos="3529"/>
                <w:tab w:val="left" w:pos="4400"/>
                <w:tab w:val="left" w:pos="5274"/>
                <w:tab w:val="left" w:pos="6145"/>
                <w:tab w:val="left" w:pos="7016"/>
                <w:tab w:val="left" w:pos="7888"/>
                <w:tab w:val="left" w:pos="8761"/>
              </w:tabs>
              <w:spacing w:before="160"/>
              <w:rPr>
                <w:rFonts w:hint="eastAsia" w:ascii="仿宋_GB2312" w:hAnsi="仿宋_GB2312" w:eastAsia="仿宋_GB2312" w:cs="仿宋_GB2312"/>
                <w:sz w:val="24"/>
              </w:rPr>
            </w:pPr>
            <w:r>
              <w:rPr>
                <w:rFonts w:hint="eastAsia" w:ascii="仿宋_GB2312" w:hAnsi="仿宋_GB2312" w:eastAsia="仿宋_GB2312" w:cs="仿宋_GB2312"/>
                <w:sz w:val="24"/>
              </w:rPr>
              <w:t>其他（简要描述）</w:t>
            </w:r>
          </w:p>
          <w:p w14:paraId="052BF42A">
            <w:pPr>
              <w:pStyle w:val="19"/>
              <w:rPr>
                <w:rFonts w:hint="eastAsia" w:ascii="仿宋_GB2312" w:hAnsi="仿宋_GB2312" w:eastAsia="仿宋_GB2312" w:cs="仿宋_GB2312"/>
                <w:sz w:val="20"/>
              </w:rPr>
            </w:pPr>
          </w:p>
          <w:p w14:paraId="0242B2B3">
            <w:pPr>
              <w:pStyle w:val="19"/>
              <w:spacing w:before="5"/>
              <w:rPr>
                <w:rFonts w:hint="eastAsia" w:ascii="仿宋_GB2312" w:hAnsi="仿宋_GB2312" w:eastAsia="仿宋_GB2312" w:cs="仿宋_GB2312"/>
                <w:sz w:val="13"/>
              </w:rPr>
            </w:pPr>
          </w:p>
          <w:p w14:paraId="53CE1C6C">
            <w:pPr>
              <w:pStyle w:val="19"/>
              <w:spacing w:line="20" w:lineRule="exact"/>
              <w:ind w:left="104"/>
              <w:rPr>
                <w:rFonts w:hint="eastAsia" w:ascii="仿宋_GB2312" w:hAnsi="仿宋_GB2312" w:eastAsia="仿宋_GB2312" w:cs="仿宋_GB2312"/>
                <w:sz w:val="2"/>
              </w:rPr>
            </w:pPr>
            <w:r>
              <w:rPr>
                <w:rFonts w:hint="eastAsia" w:ascii="仿宋_GB2312" w:hAnsi="仿宋_GB2312" w:eastAsia="仿宋_GB2312" w:cs="仿宋_GB2312"/>
                <w:sz w:val="2"/>
              </w:rPr>
              <mc:AlternateContent>
                <mc:Choice Requires="wpg">
                  <w:drawing>
                    <wp:inline distT="0" distB="0" distL="114300" distR="114300">
                      <wp:extent cx="3657600" cy="3810"/>
                      <wp:effectExtent l="0" t="0" r="0" b="0"/>
                      <wp:docPr id="35" name="组合 4"/>
                      <wp:cNvGraphicFramePr/>
                      <a:graphic xmlns:a="http://schemas.openxmlformats.org/drawingml/2006/main">
                        <a:graphicData uri="http://schemas.microsoft.com/office/word/2010/wordprocessingGroup">
                          <wpg:wgp>
                            <wpg:cNvGrpSpPr/>
                            <wpg:grpSpPr>
                              <a:xfrm>
                                <a:off x="0" y="0"/>
                                <a:ext cx="3657600" cy="3810"/>
                                <a:chOff x="0" y="0"/>
                                <a:chExt cx="5760" cy="6"/>
                              </a:xfrm>
                            </wpg:grpSpPr>
                            <wps:wsp>
                              <wps:cNvPr id="34" name="直线 5"/>
                              <wps:cNvCnPr/>
                              <wps:spPr>
                                <a:xfrm>
                                  <a:off x="0" y="3"/>
                                  <a:ext cx="5760" cy="0"/>
                                </a:xfrm>
                                <a:prstGeom prst="line">
                                  <a:avLst/>
                                </a:prstGeom>
                                <a:ln w="3505" cap="flat" cmpd="sng">
                                  <a:solidFill>
                                    <a:srgbClr val="000000"/>
                                  </a:solidFill>
                                  <a:prstDash val="solid"/>
                                  <a:headEnd type="none" w="med" len="med"/>
                                  <a:tailEnd type="none" w="med" len="med"/>
                                </a:ln>
                              </wps:spPr>
                              <wps:bodyPr/>
                            </wps:wsp>
                          </wpg:wgp>
                        </a:graphicData>
                      </a:graphic>
                    </wp:inline>
                  </w:drawing>
                </mc:Choice>
                <mc:Fallback>
                  <w:pict>
                    <v:group id="组合 4" o:spid="_x0000_s1026" o:spt="203" style="height:0.3pt;width:288pt;" coordsize="5760,6" o:gfxdata="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NVeQ0/TAAAAAgEAAA8AAAAAAAAAAQAgAAAAIgAAAGRycy9k&#10;b3ducmV2LnhtbFBLAQIUABQAAAAIAIdO4kCzSCo7QAIAAPMEAAAOAAAAAAAAAAEAIAAAACIBAABk&#10;cnMvZTJvRG9jLnhtbFBLBQYAAAAABgAGAFkBAADUBQAAAAA=&#10;">
                      <o:lock v:ext="edit" aspectratio="f"/>
                      <v:line id="直线 5" o:spid="_x0000_s1026" o:spt="20" style="position:absolute;left:0;top:3;height:0;width:5760;" filled="f" stroked="t" coordsize="21600,21600" o:gfxdata="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d8GWp&#10;wAAAANsAAAAPAAAAAAAAAAEAIAAAACIAAABkcnMvZG93bnJldi54bWxQSwECFAAUAAAACACHTuJA&#10;My8FnjsAAAA5AAAAEAAAAAAAAAABACAAAAAPAQAAZHJzL3NoYXBleG1sLnhtbFBLBQYAAAAABgAG&#10;AFsBAAC5AwAAAAA=&#10;">
                        <v:fill on="f" focussize="0,0"/>
                        <v:stroke weight="0.275984251968504pt" color="#000000" joinstyle="round"/>
                        <v:imagedata o:title=""/>
                        <o:lock v:ext="edit" aspectratio="f"/>
                      </v:line>
                      <w10:wrap type="none"/>
                      <w10:anchorlock/>
                    </v:group>
                  </w:pict>
                </mc:Fallback>
              </mc:AlternateContent>
            </w:r>
          </w:p>
          <w:p w14:paraId="25253933">
            <w:pPr>
              <w:pStyle w:val="19"/>
              <w:tabs>
                <w:tab w:val="left" w:pos="4667"/>
              </w:tabs>
              <w:spacing w:before="181"/>
              <w:ind w:left="107"/>
              <w:rPr>
                <w:rFonts w:hint="eastAsia" w:ascii="仿宋_GB2312" w:hAnsi="仿宋_GB2312" w:eastAsia="仿宋_GB2312" w:cs="仿宋_GB2312"/>
                <w:sz w:val="24"/>
              </w:rPr>
            </w:pPr>
            <w:r>
              <w:rPr>
                <w:rFonts w:hint="eastAsia" w:ascii="仿宋_GB2312" w:hAnsi="仿宋_GB2312" w:eastAsia="仿宋_GB2312" w:cs="仿宋_GB2312"/>
                <w:sz w:val="24"/>
              </w:rPr>
              <w:t>突发事件级别：经初步判定事件为</w:t>
            </w:r>
            <w:r>
              <w:rPr>
                <w:rFonts w:hint="eastAsia" w:ascii="仿宋_GB2312" w:hAnsi="仿宋_GB2312" w:eastAsia="仿宋_GB2312" w:cs="仿宋_GB2312"/>
                <w:sz w:val="24"/>
                <w:u w:val="single"/>
              </w:rPr>
              <w:tab/>
            </w:r>
            <w:r>
              <w:rPr>
                <w:rFonts w:hint="eastAsia" w:ascii="仿宋_GB2312" w:hAnsi="仿宋_GB2312" w:eastAsia="仿宋_GB2312" w:cs="仿宋_GB2312"/>
                <w:sz w:val="24"/>
              </w:rPr>
              <w:t>级别</w:t>
            </w:r>
          </w:p>
        </w:tc>
      </w:tr>
      <w:tr w14:paraId="37DD548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71" w:hRule="atLeast"/>
        </w:trPr>
        <w:tc>
          <w:tcPr>
            <w:tcW w:w="9110" w:type="dxa"/>
            <w:tcBorders>
              <w:top w:val="single" w:color="000000" w:sz="4" w:space="0"/>
              <w:bottom w:val="single" w:color="000000" w:sz="4" w:space="0"/>
            </w:tcBorders>
          </w:tcPr>
          <w:p w14:paraId="24FA7814">
            <w:pPr>
              <w:pStyle w:val="19"/>
              <w:spacing w:before="81"/>
              <w:ind w:left="107"/>
              <w:rPr>
                <w:rFonts w:hint="eastAsia" w:ascii="仿宋_GB2312" w:hAnsi="仿宋_GB2312" w:eastAsia="仿宋_GB2312" w:cs="仿宋_GB2312"/>
                <w:sz w:val="24"/>
              </w:rPr>
            </w:pPr>
            <w:r>
              <w:rPr>
                <w:rFonts w:hint="eastAsia" w:ascii="仿宋_GB2312" w:hAnsi="仿宋_GB2312" w:eastAsia="仿宋_GB2312" w:cs="仿宋_GB2312"/>
                <w:sz w:val="24"/>
              </w:rPr>
              <w:t>突发事件起因、经过、损失和影响：</w:t>
            </w:r>
          </w:p>
        </w:tc>
      </w:tr>
      <w:tr w14:paraId="7A8CB1B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25" w:hRule="atLeast"/>
        </w:trPr>
        <w:tc>
          <w:tcPr>
            <w:tcW w:w="9110" w:type="dxa"/>
            <w:tcBorders>
              <w:top w:val="single" w:color="000000" w:sz="4" w:space="0"/>
              <w:bottom w:val="single" w:color="000000" w:sz="4" w:space="0"/>
            </w:tcBorders>
          </w:tcPr>
          <w:p w14:paraId="4101BBC1">
            <w:pPr>
              <w:pStyle w:val="19"/>
              <w:spacing w:before="81"/>
              <w:ind w:left="107"/>
              <w:rPr>
                <w:rFonts w:hint="eastAsia" w:ascii="仿宋_GB2312" w:hAnsi="仿宋_GB2312" w:eastAsia="仿宋_GB2312" w:cs="仿宋_GB2312"/>
                <w:sz w:val="24"/>
              </w:rPr>
            </w:pPr>
            <w:r>
              <w:rPr>
                <w:rFonts w:hint="eastAsia" w:ascii="仿宋_GB2312" w:hAnsi="仿宋_GB2312" w:eastAsia="仿宋_GB2312" w:cs="仿宋_GB2312"/>
                <w:sz w:val="24"/>
              </w:rPr>
              <w:t>已采取的措施及效果：</w:t>
            </w:r>
          </w:p>
        </w:tc>
      </w:tr>
      <w:tr w14:paraId="301EFB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9110" w:type="dxa"/>
            <w:tcBorders>
              <w:top w:val="single" w:color="000000" w:sz="4" w:space="0"/>
              <w:bottom w:val="single" w:color="000000" w:sz="4" w:space="0"/>
            </w:tcBorders>
          </w:tcPr>
          <w:p w14:paraId="028B2BE1">
            <w:pPr>
              <w:pStyle w:val="19"/>
              <w:spacing w:before="81"/>
              <w:ind w:left="107"/>
              <w:rPr>
                <w:rFonts w:hint="eastAsia" w:ascii="仿宋_GB2312" w:hAnsi="仿宋_GB2312" w:eastAsia="仿宋_GB2312" w:cs="仿宋_GB2312"/>
                <w:sz w:val="24"/>
              </w:rPr>
            </w:pPr>
            <w:r>
              <w:rPr>
                <w:rFonts w:hint="eastAsia" w:ascii="仿宋_GB2312" w:hAnsi="仿宋_GB2312" w:eastAsia="仿宋_GB2312" w:cs="仿宋_GB2312"/>
                <w:sz w:val="24"/>
              </w:rPr>
              <w:t>发展趋势及对策建议：</w:t>
            </w:r>
          </w:p>
        </w:tc>
      </w:tr>
      <w:tr w14:paraId="51338B9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75" w:hRule="atLeast"/>
        </w:trPr>
        <w:tc>
          <w:tcPr>
            <w:tcW w:w="9110" w:type="dxa"/>
            <w:tcBorders>
              <w:top w:val="single" w:color="000000" w:sz="4" w:space="0"/>
            </w:tcBorders>
          </w:tcPr>
          <w:p w14:paraId="2F98CB85">
            <w:pPr>
              <w:pStyle w:val="19"/>
              <w:spacing w:before="80"/>
              <w:ind w:left="107"/>
              <w:rPr>
                <w:rFonts w:hint="eastAsia" w:ascii="仿宋_GB2312" w:hAnsi="仿宋_GB2312" w:eastAsia="仿宋_GB2312" w:cs="仿宋_GB2312"/>
                <w:sz w:val="24"/>
              </w:rPr>
            </w:pPr>
            <w:r>
              <w:rPr>
                <w:rFonts w:hint="eastAsia" w:ascii="仿宋_GB2312" w:hAnsi="仿宋_GB2312" w:eastAsia="仿宋_GB2312" w:cs="仿宋_GB2312"/>
                <w:sz w:val="24"/>
              </w:rPr>
              <w:t>现场联络方式：</w:t>
            </w:r>
          </w:p>
          <w:p w14:paraId="13C489EE">
            <w:pPr>
              <w:pStyle w:val="19"/>
              <w:tabs>
                <w:tab w:val="left" w:pos="4299"/>
                <w:tab w:val="left" w:pos="6877"/>
                <w:tab w:val="left" w:pos="7290"/>
                <w:tab w:val="left" w:pos="7928"/>
              </w:tabs>
              <w:spacing w:before="161"/>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pacing w:val="36"/>
                <w:sz w:val="24"/>
              </w:rPr>
              <w:t>一</w:t>
            </w:r>
            <w:r>
              <w:rPr>
                <w:rFonts w:hint="eastAsia" w:ascii="仿宋_GB2312" w:hAnsi="仿宋_GB2312" w:eastAsia="仿宋_GB2312" w:cs="仿宋_GB2312"/>
                <w:sz w:val="24"/>
              </w:rPr>
              <w:t>）</w:t>
            </w:r>
            <w:r>
              <w:rPr>
                <w:rFonts w:hint="eastAsia" w:ascii="仿宋_GB2312" w:hAnsi="仿宋_GB2312" w:eastAsia="仿宋_GB2312" w:cs="仿宋_GB2312"/>
                <w:spacing w:val="36"/>
                <w:sz w:val="24"/>
              </w:rPr>
              <w:t>现</w:t>
            </w:r>
            <w:r>
              <w:rPr>
                <w:rFonts w:hint="eastAsia" w:ascii="仿宋_GB2312" w:hAnsi="仿宋_GB2312" w:eastAsia="仿宋_GB2312" w:cs="仿宋_GB2312"/>
                <w:spacing w:val="38"/>
                <w:sz w:val="24"/>
              </w:rPr>
              <w:t>场指</w:t>
            </w:r>
            <w:r>
              <w:rPr>
                <w:rFonts w:hint="eastAsia" w:ascii="仿宋_GB2312" w:hAnsi="仿宋_GB2312" w:eastAsia="仿宋_GB2312" w:cs="仿宋_GB2312"/>
                <w:spacing w:val="36"/>
                <w:sz w:val="24"/>
              </w:rPr>
              <w:t>挥</w:t>
            </w:r>
            <w:r>
              <w:rPr>
                <w:rFonts w:hint="eastAsia" w:ascii="仿宋_GB2312" w:hAnsi="仿宋_GB2312" w:eastAsia="仿宋_GB2312" w:cs="仿宋_GB2312"/>
                <w:spacing w:val="38"/>
                <w:sz w:val="24"/>
              </w:rPr>
              <w:t>员</w:t>
            </w:r>
            <w:r>
              <w:rPr>
                <w:rFonts w:hint="eastAsia" w:ascii="仿宋_GB2312" w:hAnsi="仿宋_GB2312" w:eastAsia="仿宋_GB2312" w:cs="仿宋_GB2312"/>
                <w:sz w:val="24"/>
              </w:rPr>
              <w:t>：</w:t>
            </w:r>
            <w:r>
              <w:rPr>
                <w:rFonts w:hint="eastAsia" w:ascii="仿宋_GB2312" w:hAnsi="仿宋_GB2312" w:eastAsia="仿宋_GB2312" w:cs="仿宋_GB2312"/>
                <w:spacing w:val="38"/>
                <w:sz w:val="24"/>
              </w:rPr>
              <w:t>姓名</w:t>
            </w:r>
            <w:r>
              <w:rPr>
                <w:rFonts w:hint="eastAsia" w:ascii="仿宋_GB2312" w:hAnsi="仿宋_GB2312" w:eastAsia="仿宋_GB2312" w:cs="仿宋_GB2312"/>
                <w:spacing w:val="38"/>
                <w:sz w:val="24"/>
                <w:u w:val="single"/>
              </w:rPr>
              <w:tab/>
            </w:r>
            <w:r>
              <w:rPr>
                <w:rFonts w:hint="eastAsia" w:ascii="仿宋_GB2312" w:hAnsi="仿宋_GB2312" w:eastAsia="仿宋_GB2312" w:cs="仿宋_GB2312"/>
                <w:spacing w:val="38"/>
                <w:sz w:val="24"/>
                <w:u w:val="single"/>
                <w:lang w:val="en-US" w:eastAsia="zh-CN"/>
              </w:rPr>
              <w:t xml:space="preserve">   </w:t>
            </w:r>
            <w:r>
              <w:rPr>
                <w:rFonts w:hint="eastAsia" w:ascii="仿宋_GB2312" w:hAnsi="仿宋_GB2312" w:eastAsia="仿宋_GB2312" w:cs="仿宋_GB2312"/>
                <w:spacing w:val="38"/>
                <w:sz w:val="24"/>
              </w:rPr>
              <w:t>所</w:t>
            </w:r>
            <w:r>
              <w:rPr>
                <w:rFonts w:hint="eastAsia" w:ascii="仿宋_GB2312" w:hAnsi="仿宋_GB2312" w:eastAsia="仿宋_GB2312" w:cs="仿宋_GB2312"/>
                <w:spacing w:val="36"/>
                <w:sz w:val="24"/>
              </w:rPr>
              <w:t>在</w:t>
            </w:r>
            <w:r>
              <w:rPr>
                <w:rFonts w:hint="eastAsia" w:ascii="仿宋_GB2312" w:hAnsi="仿宋_GB2312" w:eastAsia="仿宋_GB2312" w:cs="仿宋_GB2312"/>
                <w:spacing w:val="38"/>
                <w:sz w:val="24"/>
              </w:rPr>
              <w:t>单</w:t>
            </w:r>
            <w:r>
              <w:rPr>
                <w:rFonts w:hint="eastAsia" w:ascii="仿宋_GB2312" w:hAnsi="仿宋_GB2312" w:eastAsia="仿宋_GB2312" w:cs="仿宋_GB2312"/>
                <w:spacing w:val="36"/>
                <w:sz w:val="24"/>
              </w:rPr>
              <w:t>位</w:t>
            </w:r>
            <w:r>
              <w:rPr>
                <w:rFonts w:hint="eastAsia" w:ascii="仿宋_GB2312" w:hAnsi="仿宋_GB2312" w:eastAsia="仿宋_GB2312" w:cs="仿宋_GB2312"/>
                <w:spacing w:val="38"/>
                <w:sz w:val="24"/>
              </w:rPr>
              <w:t>职</w:t>
            </w:r>
            <w:r>
              <w:rPr>
                <w:rFonts w:hint="eastAsia" w:ascii="仿宋_GB2312" w:hAnsi="仿宋_GB2312" w:eastAsia="仿宋_GB2312" w:cs="仿宋_GB2312"/>
                <w:sz w:val="24"/>
              </w:rPr>
              <w:t>务</w:t>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pacing w:val="38"/>
                <w:sz w:val="24"/>
              </w:rPr>
              <w:t>联</w:t>
            </w:r>
            <w:r>
              <w:rPr>
                <w:rFonts w:hint="eastAsia" w:ascii="仿宋_GB2312" w:hAnsi="仿宋_GB2312" w:eastAsia="仿宋_GB2312" w:cs="仿宋_GB2312"/>
                <w:spacing w:val="36"/>
                <w:sz w:val="24"/>
              </w:rPr>
              <w:t>系</w:t>
            </w:r>
            <w:r>
              <w:rPr>
                <w:rFonts w:hint="eastAsia" w:ascii="仿宋_GB2312" w:hAnsi="仿宋_GB2312" w:eastAsia="仿宋_GB2312" w:cs="仿宋_GB2312"/>
                <w:spacing w:val="38"/>
                <w:sz w:val="24"/>
              </w:rPr>
              <w:t>电</w:t>
            </w:r>
            <w:r>
              <w:rPr>
                <w:rFonts w:hint="eastAsia" w:ascii="仿宋_GB2312" w:hAnsi="仿宋_GB2312" w:eastAsia="仿宋_GB2312" w:cs="仿宋_GB2312"/>
                <w:sz w:val="24"/>
              </w:rPr>
              <w:t>话</w:t>
            </w:r>
          </w:p>
          <w:p w14:paraId="75EC366A">
            <w:pPr>
              <w:pStyle w:val="19"/>
              <w:rPr>
                <w:rFonts w:hint="eastAsia" w:ascii="仿宋_GB2312" w:hAnsi="仿宋_GB2312" w:eastAsia="仿宋_GB2312" w:cs="仿宋_GB2312"/>
                <w:sz w:val="20"/>
              </w:rPr>
            </w:pPr>
          </w:p>
          <w:p w14:paraId="01F0813D">
            <w:pPr>
              <w:pStyle w:val="19"/>
              <w:spacing w:before="5"/>
              <w:rPr>
                <w:rFonts w:hint="eastAsia" w:ascii="仿宋_GB2312" w:hAnsi="仿宋_GB2312" w:eastAsia="仿宋_GB2312" w:cs="仿宋_GB2312"/>
                <w:sz w:val="13"/>
              </w:rPr>
            </w:pPr>
          </w:p>
          <w:p w14:paraId="029AB70A">
            <w:pPr>
              <w:pStyle w:val="19"/>
              <w:spacing w:line="20" w:lineRule="exact"/>
              <w:ind w:left="104"/>
              <w:rPr>
                <w:rFonts w:hint="eastAsia" w:ascii="仿宋_GB2312" w:hAnsi="仿宋_GB2312" w:eastAsia="仿宋_GB2312" w:cs="仿宋_GB2312"/>
                <w:sz w:val="2"/>
              </w:rPr>
            </w:pPr>
            <w:r>
              <w:rPr>
                <w:rFonts w:hint="eastAsia" w:ascii="仿宋_GB2312" w:hAnsi="仿宋_GB2312" w:eastAsia="仿宋_GB2312" w:cs="仿宋_GB2312"/>
                <w:sz w:val="2"/>
              </w:rPr>
              <mc:AlternateContent>
                <mc:Choice Requires="wpg">
                  <w:drawing>
                    <wp:inline distT="0" distB="0" distL="114300" distR="114300">
                      <wp:extent cx="990600" cy="3810"/>
                      <wp:effectExtent l="0" t="0" r="0" b="0"/>
                      <wp:docPr id="37" name="组合 6"/>
                      <wp:cNvGraphicFramePr/>
                      <a:graphic xmlns:a="http://schemas.openxmlformats.org/drawingml/2006/main">
                        <a:graphicData uri="http://schemas.microsoft.com/office/word/2010/wordprocessingGroup">
                          <wpg:wgp>
                            <wpg:cNvGrpSpPr/>
                            <wpg:grpSpPr>
                              <a:xfrm>
                                <a:off x="0" y="0"/>
                                <a:ext cx="990600" cy="3810"/>
                                <a:chOff x="0" y="0"/>
                                <a:chExt cx="1560" cy="6"/>
                              </a:xfrm>
                            </wpg:grpSpPr>
                            <wps:wsp>
                              <wps:cNvPr id="36" name="直线 7"/>
                              <wps:cNvCnPr/>
                              <wps:spPr>
                                <a:xfrm>
                                  <a:off x="0" y="3"/>
                                  <a:ext cx="1560" cy="0"/>
                                </a:xfrm>
                                <a:prstGeom prst="line">
                                  <a:avLst/>
                                </a:prstGeom>
                                <a:ln w="3505" cap="flat" cmpd="sng">
                                  <a:solidFill>
                                    <a:srgbClr val="000000"/>
                                  </a:solidFill>
                                  <a:prstDash val="solid"/>
                                  <a:headEnd type="none" w="med" len="med"/>
                                  <a:tailEnd type="none" w="med" len="med"/>
                                </a:ln>
                              </wps:spPr>
                              <wps:bodyPr/>
                            </wps:wsp>
                          </wpg:wgp>
                        </a:graphicData>
                      </a:graphic>
                    </wp:inline>
                  </w:drawing>
                </mc:Choice>
                <mc:Fallback>
                  <w:pict>
                    <v:group id="组合 6" o:spid="_x0000_s1026" o:spt="203" style="height:0.3pt;width:78pt;" coordsize="1560,6" o:gfxdata="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I5yMlNIAAAACAQAADwAAAAAAAAABACAAAAAiAAAAZHJz&#10;L2Rvd25yZXYueG1sUEsBAhQAFAAAAAgAh07iQMe3gqpDAgAA8gQAAA4AAAAAAAAAAQAgAAAAIQEA&#10;AGRycy9lMm9Eb2MueG1sUEsFBgAAAAAGAAYAWQEAANYFAAAAAA==&#10;">
                      <o:lock v:ext="edit" aspectratio="f"/>
                      <v:line id="直线 7" o:spid="_x0000_s1026" o:spt="20" style="position:absolute;left:0;top:3;height:0;width:1560;" filled="f" stroked="t" coordsize="21600,21600" o:gfxdata="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JuXkW/&#10;AAAA2wAAAA8AAAAAAAAAAQAgAAAAIgAAAGRycy9kb3ducmV2LnhtbFBLAQIUABQAAAAIAIdO4kAz&#10;LwWeOwAAADkAAAAQAAAAAAAAAAEAIAAAAA4BAABkcnMvc2hhcGV4bWwueG1sUEsFBgAAAAAGAAYA&#10;WwEAALgDAAAAAA==&#10;">
                        <v:fill on="f" focussize="0,0"/>
                        <v:stroke weight="0.275984251968504pt" color="#000000" joinstyle="round"/>
                        <v:imagedata o:title=""/>
                        <o:lock v:ext="edit" aspectratio="f"/>
                      </v:line>
                      <w10:wrap type="none"/>
                      <w10:anchorlock/>
                    </v:group>
                  </w:pict>
                </mc:Fallback>
              </mc:AlternateContent>
            </w:r>
          </w:p>
          <w:p w14:paraId="046C9EC1">
            <w:pPr>
              <w:pStyle w:val="19"/>
              <w:tabs>
                <w:tab w:val="left" w:pos="4775"/>
                <w:tab w:val="left" w:pos="7928"/>
              </w:tabs>
              <w:spacing w:before="181"/>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pacing w:val="38"/>
                <w:sz w:val="24"/>
              </w:rPr>
              <w:t>二</w:t>
            </w:r>
            <w:r>
              <w:rPr>
                <w:rFonts w:hint="eastAsia" w:ascii="仿宋_GB2312" w:hAnsi="仿宋_GB2312" w:eastAsia="仿宋_GB2312" w:cs="仿宋_GB2312"/>
                <w:sz w:val="24"/>
              </w:rPr>
              <w:t>）</w:t>
            </w:r>
            <w:r>
              <w:rPr>
                <w:rFonts w:hint="eastAsia" w:ascii="仿宋_GB2312" w:hAnsi="仿宋_GB2312" w:eastAsia="仿宋_GB2312" w:cs="仿宋_GB2312"/>
                <w:spacing w:val="38"/>
                <w:sz w:val="24"/>
              </w:rPr>
              <w:t>现</w:t>
            </w:r>
            <w:r>
              <w:rPr>
                <w:rFonts w:hint="eastAsia" w:ascii="仿宋_GB2312" w:hAnsi="仿宋_GB2312" w:eastAsia="仿宋_GB2312" w:cs="仿宋_GB2312"/>
                <w:spacing w:val="36"/>
                <w:sz w:val="24"/>
              </w:rPr>
              <w:t>场</w:t>
            </w:r>
            <w:r>
              <w:rPr>
                <w:rFonts w:hint="eastAsia" w:ascii="仿宋_GB2312" w:hAnsi="仿宋_GB2312" w:eastAsia="仿宋_GB2312" w:cs="仿宋_GB2312"/>
                <w:spacing w:val="38"/>
                <w:sz w:val="24"/>
              </w:rPr>
              <w:t>联</w:t>
            </w:r>
            <w:r>
              <w:rPr>
                <w:rFonts w:hint="eastAsia" w:ascii="仿宋_GB2312" w:hAnsi="仿宋_GB2312" w:eastAsia="仿宋_GB2312" w:cs="仿宋_GB2312"/>
                <w:spacing w:val="36"/>
                <w:sz w:val="24"/>
              </w:rPr>
              <w:t>络</w:t>
            </w:r>
            <w:r>
              <w:rPr>
                <w:rFonts w:hint="eastAsia" w:ascii="仿宋_GB2312" w:hAnsi="仿宋_GB2312" w:eastAsia="仿宋_GB2312" w:cs="仿宋_GB2312"/>
                <w:spacing w:val="38"/>
                <w:sz w:val="24"/>
              </w:rPr>
              <w:t>员</w:t>
            </w:r>
            <w:r>
              <w:rPr>
                <w:rFonts w:hint="eastAsia" w:ascii="仿宋_GB2312" w:hAnsi="仿宋_GB2312" w:eastAsia="仿宋_GB2312" w:cs="仿宋_GB2312"/>
                <w:sz w:val="24"/>
              </w:rPr>
              <w:t>：</w:t>
            </w:r>
            <w:r>
              <w:rPr>
                <w:rFonts w:hint="eastAsia" w:ascii="仿宋_GB2312" w:hAnsi="仿宋_GB2312" w:eastAsia="仿宋_GB2312" w:cs="仿宋_GB2312"/>
                <w:spacing w:val="38"/>
                <w:sz w:val="24"/>
              </w:rPr>
              <w:t>姓</w:t>
            </w:r>
            <w:r>
              <w:rPr>
                <w:rFonts w:hint="eastAsia" w:ascii="仿宋_GB2312" w:hAnsi="仿宋_GB2312" w:eastAsia="仿宋_GB2312" w:cs="仿宋_GB2312"/>
                <w:spacing w:val="36"/>
                <w:sz w:val="24"/>
              </w:rPr>
              <w:t>名</w:t>
            </w:r>
            <w:r>
              <w:rPr>
                <w:rFonts w:hint="eastAsia" w:ascii="仿宋_GB2312" w:hAnsi="仿宋_GB2312" w:eastAsia="仿宋_GB2312" w:cs="仿宋_GB2312"/>
                <w:spacing w:val="36"/>
                <w:sz w:val="24"/>
                <w:u w:val="single"/>
              </w:rPr>
              <w:tab/>
            </w:r>
            <w:r>
              <w:rPr>
                <w:rFonts w:hint="eastAsia" w:ascii="仿宋_GB2312" w:hAnsi="仿宋_GB2312" w:eastAsia="仿宋_GB2312" w:cs="仿宋_GB2312"/>
                <w:spacing w:val="36"/>
                <w:sz w:val="24"/>
              </w:rPr>
              <w:t>所</w:t>
            </w:r>
            <w:r>
              <w:rPr>
                <w:rFonts w:hint="eastAsia" w:ascii="仿宋_GB2312" w:hAnsi="仿宋_GB2312" w:eastAsia="仿宋_GB2312" w:cs="仿宋_GB2312"/>
                <w:spacing w:val="38"/>
                <w:sz w:val="24"/>
              </w:rPr>
              <w:t>在</w:t>
            </w:r>
            <w:r>
              <w:rPr>
                <w:rFonts w:hint="eastAsia" w:ascii="仿宋_GB2312" w:hAnsi="仿宋_GB2312" w:eastAsia="仿宋_GB2312" w:cs="仿宋_GB2312"/>
                <w:spacing w:val="36"/>
                <w:sz w:val="24"/>
              </w:rPr>
              <w:t>单</w:t>
            </w:r>
            <w:r>
              <w:rPr>
                <w:rFonts w:hint="eastAsia" w:ascii="仿宋_GB2312" w:hAnsi="仿宋_GB2312" w:eastAsia="仿宋_GB2312" w:cs="仿宋_GB2312"/>
                <w:spacing w:val="38"/>
                <w:sz w:val="24"/>
              </w:rPr>
              <w:t>位</w:t>
            </w:r>
            <w:r>
              <w:rPr>
                <w:rFonts w:hint="eastAsia" w:ascii="仿宋_GB2312" w:hAnsi="仿宋_GB2312" w:eastAsia="仿宋_GB2312" w:cs="仿宋_GB2312"/>
                <w:spacing w:val="36"/>
                <w:sz w:val="24"/>
              </w:rPr>
              <w:t>职</w:t>
            </w:r>
            <w:r>
              <w:rPr>
                <w:rFonts w:hint="eastAsia" w:ascii="仿宋_GB2312" w:hAnsi="仿宋_GB2312" w:eastAsia="仿宋_GB2312" w:cs="仿宋_GB2312"/>
                <w:sz w:val="24"/>
              </w:rPr>
              <w:t>务</w:t>
            </w:r>
            <w:r>
              <w:rPr>
                <w:rFonts w:hint="eastAsia" w:ascii="仿宋_GB2312" w:hAnsi="仿宋_GB2312" w:eastAsia="仿宋_GB2312" w:cs="仿宋_GB2312"/>
                <w:sz w:val="24"/>
                <w:u w:val="single"/>
              </w:rPr>
              <w:tab/>
            </w:r>
            <w:r>
              <w:rPr>
                <w:rFonts w:hint="eastAsia" w:ascii="仿宋_GB2312" w:hAnsi="仿宋_GB2312" w:eastAsia="仿宋_GB2312" w:cs="仿宋_GB2312"/>
                <w:spacing w:val="36"/>
                <w:sz w:val="24"/>
              </w:rPr>
              <w:t>联</w:t>
            </w:r>
            <w:r>
              <w:rPr>
                <w:rFonts w:hint="eastAsia" w:ascii="仿宋_GB2312" w:hAnsi="仿宋_GB2312" w:eastAsia="仿宋_GB2312" w:cs="仿宋_GB2312"/>
                <w:spacing w:val="38"/>
                <w:sz w:val="24"/>
              </w:rPr>
              <w:t>系</w:t>
            </w:r>
            <w:r>
              <w:rPr>
                <w:rFonts w:hint="eastAsia" w:ascii="仿宋_GB2312" w:hAnsi="仿宋_GB2312" w:eastAsia="仿宋_GB2312" w:cs="仿宋_GB2312"/>
                <w:spacing w:val="36"/>
                <w:sz w:val="24"/>
              </w:rPr>
              <w:t>电</w:t>
            </w:r>
            <w:r>
              <w:rPr>
                <w:rFonts w:hint="eastAsia" w:ascii="仿宋_GB2312" w:hAnsi="仿宋_GB2312" w:eastAsia="仿宋_GB2312" w:cs="仿宋_GB2312"/>
                <w:sz w:val="24"/>
              </w:rPr>
              <w:t>话</w:t>
            </w:r>
          </w:p>
          <w:p w14:paraId="56130B5A">
            <w:pPr>
              <w:pStyle w:val="19"/>
              <w:rPr>
                <w:rFonts w:hint="eastAsia" w:ascii="仿宋_GB2312" w:hAnsi="仿宋_GB2312" w:eastAsia="仿宋_GB2312" w:cs="仿宋_GB2312"/>
                <w:sz w:val="20"/>
              </w:rPr>
            </w:pPr>
          </w:p>
          <w:p w14:paraId="33A76B94">
            <w:pPr>
              <w:pStyle w:val="19"/>
              <w:spacing w:before="4"/>
              <w:rPr>
                <w:rFonts w:hint="eastAsia" w:ascii="仿宋_GB2312" w:hAnsi="仿宋_GB2312" w:eastAsia="仿宋_GB2312" w:cs="仿宋_GB2312"/>
                <w:sz w:val="13"/>
              </w:rPr>
            </w:pPr>
          </w:p>
          <w:p w14:paraId="38D6DE5D">
            <w:pPr>
              <w:pStyle w:val="19"/>
              <w:spacing w:line="20" w:lineRule="exact"/>
              <w:ind w:left="104"/>
              <w:rPr>
                <w:rFonts w:hint="eastAsia" w:ascii="仿宋_GB2312" w:hAnsi="仿宋_GB2312" w:eastAsia="仿宋_GB2312" w:cs="仿宋_GB2312"/>
                <w:sz w:val="2"/>
              </w:rPr>
            </w:pPr>
            <w:r>
              <w:rPr>
                <w:rFonts w:hint="eastAsia" w:ascii="仿宋_GB2312" w:hAnsi="仿宋_GB2312" w:eastAsia="仿宋_GB2312" w:cs="仿宋_GB2312"/>
                <w:sz w:val="2"/>
              </w:rPr>
              <mc:AlternateContent>
                <mc:Choice Requires="wpg">
                  <w:drawing>
                    <wp:inline distT="0" distB="0" distL="114300" distR="114300">
                      <wp:extent cx="990600" cy="3810"/>
                      <wp:effectExtent l="0" t="0" r="0" b="0"/>
                      <wp:docPr id="39" name="组合 8"/>
                      <wp:cNvGraphicFramePr/>
                      <a:graphic xmlns:a="http://schemas.openxmlformats.org/drawingml/2006/main">
                        <a:graphicData uri="http://schemas.microsoft.com/office/word/2010/wordprocessingGroup">
                          <wpg:wgp>
                            <wpg:cNvGrpSpPr/>
                            <wpg:grpSpPr>
                              <a:xfrm>
                                <a:off x="0" y="0"/>
                                <a:ext cx="990600" cy="3810"/>
                                <a:chOff x="0" y="0"/>
                                <a:chExt cx="1560" cy="6"/>
                              </a:xfrm>
                            </wpg:grpSpPr>
                            <wps:wsp>
                              <wps:cNvPr id="38" name="直线 9"/>
                              <wps:cNvCnPr/>
                              <wps:spPr>
                                <a:xfrm>
                                  <a:off x="0" y="3"/>
                                  <a:ext cx="1560" cy="0"/>
                                </a:xfrm>
                                <a:prstGeom prst="line">
                                  <a:avLst/>
                                </a:prstGeom>
                                <a:ln w="3505" cap="flat" cmpd="sng">
                                  <a:solidFill>
                                    <a:srgbClr val="000000"/>
                                  </a:solidFill>
                                  <a:prstDash val="solid"/>
                                  <a:headEnd type="none" w="med" len="med"/>
                                  <a:tailEnd type="none" w="med" len="med"/>
                                </a:ln>
                              </wps:spPr>
                              <wps:bodyPr/>
                            </wps:wsp>
                          </wpg:wgp>
                        </a:graphicData>
                      </a:graphic>
                    </wp:inline>
                  </w:drawing>
                </mc:Choice>
                <mc:Fallback>
                  <w:pict>
                    <v:group id="组合 8" o:spid="_x0000_s1026" o:spt="203" style="height:0.3pt;width:78pt;" coordsize="1560,6" o:gfxdata="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jnIyU0gAAAAIBAAAPAAAAAAAAAAEAIAAAACIAAABkcnMv&#10;ZG93bnJldi54bWxQSwECFAAUAAAACACHTuJAIKdESUICAADyBAAADgAAAAAAAAABACAAAAAhAQAA&#10;ZHJzL2Uyb0RvYy54bWxQSwUGAAAAAAYABgBZAQAA1QUAAAAA&#10;">
                      <o:lock v:ext="edit" aspectratio="f"/>
                      <v:line id="直线 9" o:spid="_x0000_s1026" o:spt="20" style="position:absolute;left:0;top:3;height:0;width:1560;" filled="f" stroked="t" coordsize="21600,21600" o:gfxdata="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9b6y8AAAA&#10;2wAAAA8AAAAAAAAAAQAgAAAAIgAAAGRycy9kb3ducmV2LnhtbFBLAQIUABQAAAAIAIdO4kAzLwWe&#10;OwAAADkAAAAQAAAAAAAAAAEAIAAAAAsBAABkcnMvc2hhcGV4bWwueG1sUEsFBgAAAAAGAAYAWwEA&#10;ALUDAAAAAA==&#10;">
                        <v:fill on="f" focussize="0,0"/>
                        <v:stroke weight="0.275984251968504pt" color="#000000" joinstyle="round"/>
                        <v:imagedata o:title=""/>
                        <o:lock v:ext="edit" aspectratio="f"/>
                      </v:line>
                      <w10:wrap type="none"/>
                      <w10:anchorlock/>
                    </v:group>
                  </w:pict>
                </mc:Fallback>
              </mc:AlternateContent>
            </w:r>
          </w:p>
          <w:p w14:paraId="261D6835">
            <w:pPr>
              <w:pStyle w:val="19"/>
              <w:tabs>
                <w:tab w:val="left" w:pos="4655"/>
                <w:tab w:val="left" w:pos="6764"/>
                <w:tab w:val="left" w:pos="7984"/>
              </w:tabs>
              <w:spacing w:before="181"/>
              <w:rPr>
                <w:rFonts w:hint="eastAsia" w:ascii="仿宋_GB2312" w:hAnsi="仿宋_GB2312" w:eastAsia="仿宋_GB2312" w:cs="仿宋_GB2312"/>
                <w:sz w:val="24"/>
              </w:rPr>
            </w:pPr>
            <w:r>
              <w:rPr>
                <w:rFonts w:hint="eastAsia" w:ascii="仿宋_GB2312" w:hAnsi="仿宋_GB2312" w:eastAsia="仿宋_GB2312" w:cs="仿宋_GB2312"/>
                <w:spacing w:val="19"/>
                <w:sz w:val="24"/>
              </w:rPr>
              <w:t>（三）单位</w:t>
            </w:r>
            <w:r>
              <w:rPr>
                <w:rFonts w:hint="eastAsia" w:ascii="仿宋_GB2312" w:hAnsi="仿宋_GB2312" w:eastAsia="仿宋_GB2312" w:cs="仿宋_GB2312"/>
                <w:spacing w:val="16"/>
                <w:sz w:val="24"/>
              </w:rPr>
              <w:t>联</w:t>
            </w:r>
            <w:r>
              <w:rPr>
                <w:rFonts w:hint="eastAsia" w:ascii="仿宋_GB2312" w:hAnsi="仿宋_GB2312" w:eastAsia="仿宋_GB2312" w:cs="仿宋_GB2312"/>
                <w:spacing w:val="19"/>
                <w:sz w:val="24"/>
              </w:rPr>
              <w:t>络员：姓名</w:t>
            </w:r>
            <w:r>
              <w:rPr>
                <w:rFonts w:hint="eastAsia" w:ascii="仿宋_GB2312" w:hAnsi="仿宋_GB2312" w:eastAsia="仿宋_GB2312" w:cs="仿宋_GB2312"/>
                <w:spacing w:val="19"/>
                <w:sz w:val="24"/>
                <w:u w:val="single"/>
              </w:rPr>
              <w:tab/>
            </w:r>
            <w:r>
              <w:rPr>
                <w:rFonts w:hint="eastAsia" w:ascii="仿宋_GB2312" w:hAnsi="仿宋_GB2312" w:eastAsia="仿宋_GB2312" w:cs="仿宋_GB2312"/>
                <w:spacing w:val="19"/>
                <w:sz w:val="24"/>
                <w:u w:val="single"/>
                <w:lang w:val="en-US" w:eastAsia="zh-CN"/>
              </w:rPr>
              <w:t xml:space="preserve"> </w:t>
            </w:r>
            <w:r>
              <w:rPr>
                <w:rFonts w:hint="eastAsia" w:ascii="仿宋_GB2312" w:hAnsi="仿宋_GB2312" w:eastAsia="仿宋_GB2312" w:cs="仿宋_GB2312"/>
                <w:spacing w:val="19"/>
                <w:sz w:val="24"/>
              </w:rPr>
              <w:t>所在单位职</w:t>
            </w:r>
            <w:r>
              <w:rPr>
                <w:rFonts w:hint="eastAsia" w:ascii="仿宋_GB2312" w:hAnsi="仿宋_GB2312" w:eastAsia="仿宋_GB2312" w:cs="仿宋_GB2312"/>
                <w:sz w:val="24"/>
              </w:rPr>
              <w:t>务</w:t>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pacing w:val="19"/>
                <w:sz w:val="24"/>
              </w:rPr>
              <w:t>联系电</w:t>
            </w:r>
            <w:r>
              <w:rPr>
                <w:rFonts w:hint="eastAsia" w:ascii="仿宋_GB2312" w:hAnsi="仿宋_GB2312" w:eastAsia="仿宋_GB2312" w:cs="仿宋_GB2312"/>
                <w:sz w:val="24"/>
              </w:rPr>
              <w:t>话</w:t>
            </w:r>
          </w:p>
        </w:tc>
      </w:tr>
    </w:tbl>
    <w:p w14:paraId="417F5E53">
      <w:pPr>
        <w:pStyle w:val="6"/>
        <w:ind w:firstLine="482"/>
        <w:rPr>
          <w:rFonts w:hint="eastAsia" w:ascii="楷体_GB2312" w:hAnsi="楷体_GB2312" w:eastAsia="楷体_GB2312" w:cs="楷体_GB2312"/>
          <w:b/>
          <w:bCs/>
          <w:sz w:val="24"/>
          <w:szCs w:val="22"/>
        </w:rPr>
      </w:pPr>
      <w:bookmarkStart w:id="190" w:name="_Toc11631"/>
      <w:bookmarkStart w:id="191" w:name="_Toc19942"/>
      <w:bookmarkStart w:id="192" w:name="_Toc31592"/>
      <w:r>
        <w:rPr>
          <w:rFonts w:hint="eastAsia" w:ascii="楷体_GB2312" w:hAnsi="楷体_GB2312" w:eastAsia="楷体_GB2312" w:cs="楷体_GB2312"/>
          <w:b/>
          <w:bCs/>
          <w:sz w:val="24"/>
          <w:szCs w:val="22"/>
        </w:rPr>
        <mc:AlternateContent>
          <mc:Choice Requires="wps">
            <w:drawing>
              <wp:anchor distT="0" distB="0" distL="114300" distR="114300" simplePos="0" relativeHeight="251660288" behindDoc="1" locked="0" layoutInCell="1" allowOverlap="1">
                <wp:simplePos x="0" y="0"/>
                <wp:positionH relativeFrom="page">
                  <wp:posOffset>1143000</wp:posOffset>
                </wp:positionH>
                <wp:positionV relativeFrom="paragraph">
                  <wp:posOffset>-92075</wp:posOffset>
                </wp:positionV>
                <wp:extent cx="990600" cy="0"/>
                <wp:effectExtent l="0" t="0" r="0" b="0"/>
                <wp:wrapNone/>
                <wp:docPr id="1" name="直线 10"/>
                <wp:cNvGraphicFramePr/>
                <a:graphic xmlns:a="http://schemas.openxmlformats.org/drawingml/2006/main">
                  <a:graphicData uri="http://schemas.microsoft.com/office/word/2010/wordprocessingShape">
                    <wps:wsp>
                      <wps:cNvCnPr/>
                      <wps:spPr>
                        <a:xfrm>
                          <a:off x="0" y="0"/>
                          <a:ext cx="990600" cy="0"/>
                        </a:xfrm>
                        <a:prstGeom prst="line">
                          <a:avLst/>
                        </a:prstGeom>
                        <a:ln w="350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90pt;margin-top:-7.25pt;height:0pt;width:78pt;mso-position-horizontal-relative:page;z-index:-251656192;mso-width-relative:page;mso-height-relative:page;" filled="f" stroked="t" coordsize="21600,21600" o:gfxdata="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TAD9LZAAAACwEAAA8A&#10;AAAAAAAAAQAgAAAAIgAAAGRycy9kb3ducmV2LnhtbFBLAQIUABQAAAAIAIdO4kAXfGdR3QEAAM8D&#10;AAAOAAAAAAAAAAEAIAAAACgBAABkcnMvZTJvRG9jLnhtbFBLBQYAAAAABgAGAFkBAAB3BQAAAAA=&#10;">
                <v:fill on="f" focussize="0,0"/>
                <v:stroke weight="0.275984251968504pt" color="#000000" joinstyle="round"/>
                <v:imagedata o:title=""/>
                <o:lock v:ext="edit" aspectratio="f"/>
              </v:line>
            </w:pict>
          </mc:Fallback>
        </mc:AlternateContent>
      </w:r>
      <w:r>
        <w:rPr>
          <w:rFonts w:hint="eastAsia" w:ascii="楷体_GB2312" w:hAnsi="楷体_GB2312" w:eastAsia="楷体_GB2312" w:cs="楷体_GB2312"/>
          <w:b/>
          <w:bCs/>
          <w:sz w:val="24"/>
          <w:szCs w:val="22"/>
        </w:rPr>
        <w:t>经办人：</w:t>
      </w:r>
      <w:r>
        <w:rPr>
          <w:rFonts w:hint="eastAsia" w:ascii="楷体_GB2312" w:hAnsi="楷体_GB2312" w:eastAsia="楷体_GB2312" w:cs="楷体_GB2312"/>
          <w:b/>
          <w:bCs/>
          <w:sz w:val="24"/>
          <w:szCs w:val="22"/>
          <w:lang w:val="en-US"/>
        </w:rPr>
        <w:t xml:space="preserve">             </w:t>
      </w:r>
      <w:r>
        <w:rPr>
          <w:rFonts w:hint="eastAsia" w:ascii="楷体_GB2312" w:hAnsi="楷体_GB2312" w:eastAsia="楷体_GB2312" w:cs="楷体_GB2312"/>
          <w:b/>
          <w:bCs/>
          <w:sz w:val="24"/>
          <w:szCs w:val="22"/>
        </w:rPr>
        <w:tab/>
      </w:r>
      <w:r>
        <w:rPr>
          <w:rFonts w:hint="eastAsia" w:ascii="楷体_GB2312" w:hAnsi="楷体_GB2312" w:eastAsia="楷体_GB2312" w:cs="楷体_GB2312"/>
          <w:b/>
          <w:bCs/>
          <w:sz w:val="24"/>
          <w:szCs w:val="22"/>
        </w:rPr>
        <w:t>联系电话：</w:t>
      </w:r>
      <w:r>
        <w:rPr>
          <w:rFonts w:hint="eastAsia" w:ascii="楷体_GB2312" w:hAnsi="楷体_GB2312" w:eastAsia="楷体_GB2312" w:cs="楷体_GB2312"/>
          <w:b/>
          <w:bCs/>
          <w:sz w:val="24"/>
          <w:szCs w:val="22"/>
          <w:lang w:val="en-US"/>
        </w:rPr>
        <w:t xml:space="preserve">                   </w:t>
      </w:r>
      <w:r>
        <w:rPr>
          <w:rFonts w:hint="eastAsia" w:ascii="楷体_GB2312" w:hAnsi="楷体_GB2312" w:eastAsia="楷体_GB2312" w:cs="楷体_GB2312"/>
          <w:b/>
          <w:bCs/>
          <w:sz w:val="24"/>
          <w:szCs w:val="22"/>
        </w:rPr>
        <w:tab/>
      </w:r>
      <w:r>
        <w:rPr>
          <w:rFonts w:hint="eastAsia" w:ascii="楷体_GB2312" w:hAnsi="楷体_GB2312" w:eastAsia="楷体_GB2312" w:cs="楷体_GB2312"/>
          <w:b/>
          <w:bCs/>
          <w:sz w:val="24"/>
          <w:szCs w:val="22"/>
        </w:rPr>
        <w:t>审核人：</w:t>
      </w:r>
      <w:bookmarkEnd w:id="190"/>
      <w:bookmarkEnd w:id="191"/>
      <w:bookmarkEnd w:id="192"/>
    </w:p>
    <w:p w14:paraId="224834C0">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0" w:firstLineChars="0"/>
        <w:jc w:val="both"/>
        <w:textAlignment w:val="auto"/>
        <w:rPr>
          <w:rFonts w:hint="eastAsia" w:ascii="黑体" w:hAnsi="黑体" w:eastAsia="黑体" w:cs="黑体"/>
          <w:b w:val="0"/>
          <w:bCs w:val="0"/>
          <w:sz w:val="32"/>
          <w:szCs w:val="32"/>
          <w:lang w:val="en-US" w:eastAsia="zh-CN"/>
        </w:rPr>
      </w:pPr>
      <w:bookmarkStart w:id="193" w:name="(二)建筑工程抢险信息发布审批表"/>
      <w:bookmarkEnd w:id="193"/>
      <w:bookmarkStart w:id="194" w:name="_Toc2220"/>
      <w:bookmarkStart w:id="195" w:name="_Toc26833"/>
      <w:bookmarkStart w:id="196" w:name="_Toc10116"/>
      <w:bookmarkStart w:id="197" w:name="_Toc13197"/>
      <w:r>
        <w:rPr>
          <w:rFonts w:hint="eastAsia" w:ascii="黑体" w:hAnsi="黑体" w:eastAsia="黑体" w:cs="黑体"/>
          <w:b w:val="0"/>
          <w:bCs w:val="0"/>
          <w:sz w:val="32"/>
          <w:szCs w:val="32"/>
          <w:lang w:val="en-US" w:eastAsia="zh-CN"/>
        </w:rPr>
        <w:t>附件2</w:t>
      </w:r>
      <w:bookmarkEnd w:id="194"/>
    </w:p>
    <w:p w14:paraId="03BF6B6C">
      <w:pPr>
        <w:bidi w:val="0"/>
        <w:rPr>
          <w:rFonts w:hint="eastAsia"/>
          <w:lang w:val="zh-CN" w:eastAsia="zh-CN"/>
        </w:rPr>
      </w:pPr>
    </w:p>
    <w:p w14:paraId="4A1286CB">
      <w:pPr>
        <w:pStyle w:val="3"/>
        <w:bidi w:val="0"/>
        <w:jc w:val="center"/>
        <w:rPr>
          <w:rFonts w:hint="eastAsia" w:ascii="方正小标宋简体" w:hAnsi="方正小标宋简体" w:eastAsia="方正小标宋简体" w:cs="方正小标宋简体"/>
          <w:b w:val="0"/>
          <w:bCs w:val="0"/>
          <w:sz w:val="44"/>
          <w:szCs w:val="40"/>
          <w:lang w:val="zh-CN" w:eastAsia="zh-CN"/>
        </w:rPr>
      </w:pPr>
      <w:bookmarkStart w:id="198" w:name="_Toc4574"/>
      <w:r>
        <w:rPr>
          <w:rFonts w:hint="eastAsia" w:ascii="方正小标宋简体" w:hAnsi="方正小标宋简体" w:eastAsia="方正小标宋简体" w:cs="方正小标宋简体"/>
          <w:b w:val="0"/>
          <w:bCs w:val="0"/>
          <w:sz w:val="44"/>
          <w:szCs w:val="40"/>
          <w:lang w:val="zh-CN" w:eastAsia="zh-CN"/>
        </w:rPr>
        <w:t>建筑工程抢险信息发布审批表</w:t>
      </w:r>
      <w:bookmarkEnd w:id="195"/>
      <w:bookmarkEnd w:id="196"/>
      <w:bookmarkEnd w:id="197"/>
      <w:bookmarkEnd w:id="198"/>
    </w:p>
    <w:p w14:paraId="34862562">
      <w:pPr>
        <w:rPr>
          <w:rFonts w:hint="eastAsia"/>
          <w:lang w:val="zh-CN" w:eastAsia="zh-CN"/>
        </w:rPr>
      </w:pPr>
    </w:p>
    <w:tbl>
      <w:tblPr>
        <w:tblStyle w:val="14"/>
        <w:tblW w:w="0" w:type="auto"/>
        <w:tblInd w:w="14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05"/>
        <w:gridCol w:w="1488"/>
        <w:gridCol w:w="1271"/>
        <w:gridCol w:w="297"/>
        <w:gridCol w:w="1253"/>
        <w:gridCol w:w="136"/>
        <w:gridCol w:w="231"/>
        <w:gridCol w:w="1079"/>
        <w:gridCol w:w="1459"/>
      </w:tblGrid>
      <w:tr w14:paraId="78BCD6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trPr>
        <w:tc>
          <w:tcPr>
            <w:tcW w:w="1905" w:type="dxa"/>
            <w:tcBorders>
              <w:bottom w:val="single" w:color="000000" w:sz="4" w:space="0"/>
              <w:right w:val="single" w:color="000000" w:sz="4" w:space="0"/>
            </w:tcBorders>
          </w:tcPr>
          <w:p w14:paraId="43C9EC64">
            <w:pPr>
              <w:pStyle w:val="19"/>
              <w:spacing w:before="146"/>
              <w:ind w:left="107"/>
              <w:rPr>
                <w:rFonts w:hint="eastAsia" w:ascii="仿宋_GB2312" w:hAnsi="仿宋_GB2312" w:eastAsia="仿宋_GB2312" w:cs="仿宋_GB2312"/>
                <w:sz w:val="24"/>
              </w:rPr>
            </w:pPr>
            <w:r>
              <w:rPr>
                <w:rFonts w:hint="eastAsia" w:ascii="仿宋_GB2312" w:hAnsi="仿宋_GB2312" w:eastAsia="仿宋_GB2312" w:cs="仿宋_GB2312"/>
                <w:sz w:val="24"/>
              </w:rPr>
              <w:t>信息标题</w:t>
            </w:r>
          </w:p>
        </w:tc>
        <w:tc>
          <w:tcPr>
            <w:tcW w:w="7214" w:type="dxa"/>
            <w:gridSpan w:val="8"/>
            <w:tcBorders>
              <w:left w:val="single" w:color="000000" w:sz="4" w:space="0"/>
              <w:bottom w:val="single" w:color="000000" w:sz="4" w:space="0"/>
            </w:tcBorders>
          </w:tcPr>
          <w:p w14:paraId="347E9F95">
            <w:pPr>
              <w:pStyle w:val="19"/>
              <w:rPr>
                <w:rFonts w:hint="eastAsia" w:ascii="仿宋_GB2312" w:hAnsi="仿宋_GB2312" w:eastAsia="仿宋_GB2312" w:cs="仿宋_GB2312"/>
                <w:sz w:val="24"/>
              </w:rPr>
            </w:pPr>
          </w:p>
        </w:tc>
      </w:tr>
      <w:tr w14:paraId="6DCF87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trPr>
        <w:tc>
          <w:tcPr>
            <w:tcW w:w="1905" w:type="dxa"/>
            <w:tcBorders>
              <w:top w:val="single" w:color="000000" w:sz="4" w:space="0"/>
              <w:bottom w:val="single" w:color="000000" w:sz="4" w:space="0"/>
              <w:right w:val="single" w:color="000000" w:sz="4" w:space="0"/>
            </w:tcBorders>
          </w:tcPr>
          <w:p w14:paraId="7F701A10">
            <w:pPr>
              <w:pStyle w:val="19"/>
              <w:spacing w:before="147"/>
              <w:ind w:left="107"/>
              <w:rPr>
                <w:rFonts w:hint="eastAsia" w:ascii="仿宋_GB2312" w:hAnsi="仿宋_GB2312" w:eastAsia="仿宋_GB2312" w:cs="仿宋_GB2312"/>
                <w:sz w:val="24"/>
              </w:rPr>
            </w:pPr>
            <w:r>
              <w:rPr>
                <w:rFonts w:hint="eastAsia" w:ascii="仿宋_GB2312" w:hAnsi="仿宋_GB2312" w:eastAsia="仿宋_GB2312" w:cs="仿宋_GB2312"/>
                <w:sz w:val="24"/>
              </w:rPr>
              <w:t>信息发布编号</w:t>
            </w:r>
          </w:p>
        </w:tc>
        <w:tc>
          <w:tcPr>
            <w:tcW w:w="7214" w:type="dxa"/>
            <w:gridSpan w:val="8"/>
            <w:tcBorders>
              <w:top w:val="single" w:color="000000" w:sz="4" w:space="0"/>
              <w:left w:val="single" w:color="000000" w:sz="4" w:space="0"/>
              <w:bottom w:val="single" w:color="000000" w:sz="4" w:space="0"/>
            </w:tcBorders>
          </w:tcPr>
          <w:p w14:paraId="0AA4C2BD">
            <w:pPr>
              <w:pStyle w:val="19"/>
              <w:rPr>
                <w:rFonts w:hint="eastAsia" w:ascii="仿宋_GB2312" w:hAnsi="仿宋_GB2312" w:eastAsia="仿宋_GB2312" w:cs="仿宋_GB2312"/>
                <w:sz w:val="24"/>
              </w:rPr>
            </w:pPr>
          </w:p>
        </w:tc>
      </w:tr>
      <w:tr w14:paraId="202B43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8" w:hRule="atLeast"/>
        </w:trPr>
        <w:tc>
          <w:tcPr>
            <w:tcW w:w="1905" w:type="dxa"/>
            <w:tcBorders>
              <w:top w:val="single" w:color="000000" w:sz="4" w:space="0"/>
              <w:bottom w:val="single" w:color="000000" w:sz="4" w:space="0"/>
              <w:right w:val="single" w:color="000000" w:sz="4" w:space="0"/>
            </w:tcBorders>
          </w:tcPr>
          <w:p w14:paraId="4D9E82F0">
            <w:pPr>
              <w:pStyle w:val="19"/>
              <w:spacing w:before="145"/>
              <w:ind w:left="107"/>
              <w:rPr>
                <w:rFonts w:hint="eastAsia" w:ascii="仿宋_GB2312" w:hAnsi="仿宋_GB2312" w:eastAsia="仿宋_GB2312" w:cs="仿宋_GB2312"/>
                <w:sz w:val="24"/>
              </w:rPr>
            </w:pPr>
            <w:r>
              <w:rPr>
                <w:rFonts w:hint="eastAsia" w:ascii="仿宋_GB2312" w:hAnsi="仿宋_GB2312" w:eastAsia="仿宋_GB2312" w:cs="仿宋_GB2312"/>
                <w:sz w:val="24"/>
              </w:rPr>
              <w:t>信息报送部门</w:t>
            </w:r>
          </w:p>
        </w:tc>
        <w:tc>
          <w:tcPr>
            <w:tcW w:w="1488" w:type="dxa"/>
            <w:tcBorders>
              <w:top w:val="single" w:color="000000" w:sz="4" w:space="0"/>
              <w:left w:val="single" w:color="000000" w:sz="4" w:space="0"/>
              <w:bottom w:val="single" w:color="000000" w:sz="4" w:space="0"/>
              <w:right w:val="single" w:color="000000" w:sz="4" w:space="0"/>
            </w:tcBorders>
          </w:tcPr>
          <w:p w14:paraId="55120422">
            <w:pPr>
              <w:pStyle w:val="19"/>
              <w:rPr>
                <w:rFonts w:hint="eastAsia" w:ascii="仿宋_GB2312" w:hAnsi="仿宋_GB2312" w:eastAsia="仿宋_GB2312" w:cs="仿宋_GB2312"/>
                <w:sz w:val="24"/>
              </w:rPr>
            </w:pPr>
          </w:p>
        </w:tc>
        <w:tc>
          <w:tcPr>
            <w:tcW w:w="1568" w:type="dxa"/>
            <w:gridSpan w:val="2"/>
            <w:tcBorders>
              <w:top w:val="single" w:color="000000" w:sz="4" w:space="0"/>
              <w:left w:val="single" w:color="000000" w:sz="4" w:space="0"/>
              <w:bottom w:val="single" w:color="000000" w:sz="4" w:space="0"/>
              <w:right w:val="single" w:color="000000" w:sz="4" w:space="0"/>
            </w:tcBorders>
          </w:tcPr>
          <w:p w14:paraId="2F35691D">
            <w:pPr>
              <w:pStyle w:val="19"/>
              <w:spacing w:before="145"/>
              <w:ind w:left="118"/>
              <w:rPr>
                <w:rFonts w:hint="eastAsia" w:ascii="仿宋_GB2312" w:hAnsi="仿宋_GB2312" w:eastAsia="仿宋_GB2312" w:cs="仿宋_GB2312"/>
                <w:sz w:val="24"/>
              </w:rPr>
            </w:pPr>
            <w:r>
              <w:rPr>
                <w:rFonts w:hint="eastAsia" w:ascii="仿宋_GB2312" w:hAnsi="仿宋_GB2312" w:eastAsia="仿宋_GB2312" w:cs="仿宋_GB2312"/>
                <w:sz w:val="24"/>
              </w:rPr>
              <w:t>信息员姓名</w:t>
            </w:r>
          </w:p>
        </w:tc>
        <w:tc>
          <w:tcPr>
            <w:tcW w:w="1389" w:type="dxa"/>
            <w:gridSpan w:val="2"/>
            <w:tcBorders>
              <w:top w:val="single" w:color="000000" w:sz="4" w:space="0"/>
              <w:left w:val="single" w:color="000000" w:sz="4" w:space="0"/>
              <w:bottom w:val="single" w:color="000000" w:sz="4" w:space="0"/>
              <w:right w:val="single" w:color="000000" w:sz="4" w:space="0"/>
            </w:tcBorders>
          </w:tcPr>
          <w:p w14:paraId="2F0E526E">
            <w:pPr>
              <w:pStyle w:val="19"/>
              <w:rPr>
                <w:rFonts w:hint="eastAsia" w:ascii="仿宋_GB2312" w:hAnsi="仿宋_GB2312" w:eastAsia="仿宋_GB2312" w:cs="仿宋_GB2312"/>
                <w:sz w:val="24"/>
              </w:rPr>
            </w:pPr>
          </w:p>
        </w:tc>
        <w:tc>
          <w:tcPr>
            <w:tcW w:w="1310" w:type="dxa"/>
            <w:gridSpan w:val="2"/>
            <w:tcBorders>
              <w:top w:val="single" w:color="000000" w:sz="4" w:space="0"/>
              <w:left w:val="single" w:color="000000" w:sz="4" w:space="0"/>
              <w:bottom w:val="single" w:color="000000" w:sz="4" w:space="0"/>
              <w:right w:val="single" w:color="000000" w:sz="4" w:space="0"/>
            </w:tcBorders>
          </w:tcPr>
          <w:p w14:paraId="537D1815">
            <w:pPr>
              <w:pStyle w:val="19"/>
              <w:spacing w:before="145"/>
              <w:ind w:left="115"/>
              <w:rPr>
                <w:rFonts w:hint="eastAsia" w:ascii="仿宋_GB2312" w:hAnsi="仿宋_GB2312" w:eastAsia="仿宋_GB2312" w:cs="仿宋_GB2312"/>
                <w:sz w:val="24"/>
              </w:rPr>
            </w:pPr>
            <w:r>
              <w:rPr>
                <w:rFonts w:hint="eastAsia" w:ascii="仿宋_GB2312" w:hAnsi="仿宋_GB2312" w:eastAsia="仿宋_GB2312" w:cs="仿宋_GB2312"/>
                <w:sz w:val="24"/>
              </w:rPr>
              <w:t>报送日期</w:t>
            </w:r>
          </w:p>
        </w:tc>
        <w:tc>
          <w:tcPr>
            <w:tcW w:w="1459" w:type="dxa"/>
            <w:tcBorders>
              <w:top w:val="single" w:color="000000" w:sz="4" w:space="0"/>
              <w:left w:val="single" w:color="000000" w:sz="4" w:space="0"/>
              <w:bottom w:val="single" w:color="000000" w:sz="4" w:space="0"/>
            </w:tcBorders>
          </w:tcPr>
          <w:p w14:paraId="0111BA78">
            <w:pPr>
              <w:pStyle w:val="19"/>
              <w:rPr>
                <w:rFonts w:hint="eastAsia" w:ascii="仿宋_GB2312" w:hAnsi="仿宋_GB2312" w:eastAsia="仿宋_GB2312" w:cs="仿宋_GB2312"/>
                <w:sz w:val="24"/>
              </w:rPr>
            </w:pPr>
          </w:p>
        </w:tc>
      </w:tr>
      <w:tr w14:paraId="1239014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6" w:hRule="atLeast"/>
        </w:trPr>
        <w:tc>
          <w:tcPr>
            <w:tcW w:w="1905" w:type="dxa"/>
            <w:tcBorders>
              <w:top w:val="single" w:color="000000" w:sz="4" w:space="0"/>
              <w:bottom w:val="single" w:color="000000" w:sz="4" w:space="0"/>
              <w:right w:val="single" w:color="000000" w:sz="4" w:space="0"/>
            </w:tcBorders>
          </w:tcPr>
          <w:p w14:paraId="36B9BDB9">
            <w:pPr>
              <w:pStyle w:val="19"/>
              <w:spacing w:before="8"/>
              <w:rPr>
                <w:rFonts w:hint="eastAsia" w:ascii="仿宋_GB2312" w:hAnsi="仿宋_GB2312" w:eastAsia="仿宋_GB2312" w:cs="仿宋_GB2312"/>
                <w:b/>
                <w:sz w:val="24"/>
              </w:rPr>
            </w:pPr>
          </w:p>
          <w:p w14:paraId="0EB0248F">
            <w:pPr>
              <w:pStyle w:val="19"/>
              <w:ind w:left="107"/>
              <w:rPr>
                <w:rFonts w:hint="eastAsia" w:ascii="仿宋_GB2312" w:hAnsi="仿宋_GB2312" w:eastAsia="仿宋_GB2312" w:cs="仿宋_GB2312"/>
                <w:sz w:val="24"/>
              </w:rPr>
            </w:pPr>
            <w:r>
              <w:rPr>
                <w:rFonts w:hint="eastAsia" w:ascii="仿宋_GB2312" w:hAnsi="仿宋_GB2312" w:eastAsia="仿宋_GB2312" w:cs="仿宋_GB2312"/>
                <w:sz w:val="24"/>
              </w:rPr>
              <w:t>信息稿件附件</w:t>
            </w:r>
          </w:p>
        </w:tc>
        <w:tc>
          <w:tcPr>
            <w:tcW w:w="4309" w:type="dxa"/>
            <w:gridSpan w:val="4"/>
            <w:tcBorders>
              <w:top w:val="single" w:color="000000" w:sz="4" w:space="0"/>
              <w:left w:val="single" w:color="000000" w:sz="4" w:space="0"/>
              <w:bottom w:val="single" w:color="000000" w:sz="4" w:space="0"/>
              <w:right w:val="nil"/>
            </w:tcBorders>
          </w:tcPr>
          <w:p w14:paraId="1677428A">
            <w:pPr>
              <w:pStyle w:val="19"/>
              <w:spacing w:before="81"/>
              <w:ind w:left="118"/>
              <w:rPr>
                <w:rFonts w:hint="eastAsia" w:ascii="仿宋_GB2312" w:hAnsi="仿宋_GB2312" w:eastAsia="仿宋_GB2312" w:cs="仿宋_GB2312"/>
                <w:sz w:val="24"/>
              </w:rPr>
            </w:pPr>
            <w:r>
              <w:rPr>
                <w:rFonts w:hint="eastAsia" w:ascii="仿宋_GB2312" w:hAnsi="仿宋_GB2312" w:eastAsia="仿宋_GB2312" w:cs="仿宋_GB2312"/>
                <w:spacing w:val="-14"/>
                <w:sz w:val="24"/>
              </w:rPr>
              <w:t>□纸质附件；□电子稿附件；□照片</w:t>
            </w:r>
          </w:p>
          <w:p w14:paraId="784071A2">
            <w:pPr>
              <w:pStyle w:val="19"/>
              <w:spacing w:before="160"/>
              <w:ind w:left="118"/>
              <w:rPr>
                <w:rFonts w:hint="eastAsia" w:ascii="仿宋_GB2312" w:hAnsi="仿宋_GB2312" w:eastAsia="仿宋_GB2312" w:cs="仿宋_GB2312"/>
                <w:sz w:val="24"/>
              </w:rPr>
            </w:pPr>
            <w:r>
              <w:rPr>
                <w:rFonts w:hint="eastAsia" w:ascii="仿宋_GB2312" w:hAnsi="仿宋_GB2312" w:eastAsia="仿宋_GB2312" w:cs="仿宋_GB2312"/>
                <w:sz w:val="24"/>
              </w:rPr>
              <w:t>其他</w:t>
            </w:r>
          </w:p>
        </w:tc>
        <w:tc>
          <w:tcPr>
            <w:tcW w:w="1446" w:type="dxa"/>
            <w:gridSpan w:val="3"/>
            <w:tcBorders>
              <w:top w:val="single" w:color="000000" w:sz="4" w:space="0"/>
              <w:left w:val="nil"/>
              <w:bottom w:val="single" w:color="000000" w:sz="4" w:space="0"/>
              <w:right w:val="nil"/>
            </w:tcBorders>
          </w:tcPr>
          <w:p w14:paraId="5B545B52">
            <w:pPr>
              <w:pStyle w:val="19"/>
              <w:spacing w:before="81"/>
              <w:ind w:left="210" w:right="-15"/>
              <w:rPr>
                <w:rFonts w:hint="eastAsia" w:ascii="仿宋_GB2312" w:hAnsi="仿宋_GB2312" w:eastAsia="仿宋_GB2312" w:cs="仿宋_GB2312"/>
                <w:sz w:val="24"/>
              </w:rPr>
            </w:pPr>
            <w:r>
              <w:rPr>
                <w:rFonts w:hint="eastAsia" w:ascii="仿宋_GB2312" w:hAnsi="仿宋_GB2312" w:eastAsia="仿宋_GB2312" w:cs="仿宋_GB2312"/>
                <w:spacing w:val="-15"/>
                <w:sz w:val="24"/>
              </w:rPr>
              <w:t>张；□录像</w:t>
            </w:r>
          </w:p>
        </w:tc>
        <w:tc>
          <w:tcPr>
            <w:tcW w:w="1459" w:type="dxa"/>
            <w:tcBorders>
              <w:top w:val="single" w:color="000000" w:sz="4" w:space="0"/>
              <w:left w:val="nil"/>
              <w:bottom w:val="single" w:color="000000" w:sz="4" w:space="0"/>
            </w:tcBorders>
          </w:tcPr>
          <w:p w14:paraId="4E404236">
            <w:pPr>
              <w:pStyle w:val="19"/>
              <w:spacing w:before="81"/>
              <w:ind w:left="483"/>
              <w:rPr>
                <w:rFonts w:hint="eastAsia" w:ascii="仿宋_GB2312" w:hAnsi="仿宋_GB2312" w:eastAsia="仿宋_GB2312" w:cs="仿宋_GB2312"/>
                <w:sz w:val="24"/>
              </w:rPr>
            </w:pPr>
            <w:r>
              <w:rPr>
                <w:rFonts w:hint="eastAsia" w:ascii="仿宋_GB2312" w:hAnsi="仿宋_GB2312" w:eastAsia="仿宋_GB2312" w:cs="仿宋_GB2312"/>
                <w:sz w:val="24"/>
              </w:rPr>
              <w:t>段；□</w:t>
            </w:r>
          </w:p>
        </w:tc>
      </w:tr>
      <w:tr w14:paraId="2528E3B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1905" w:type="dxa"/>
            <w:tcBorders>
              <w:top w:val="single" w:color="000000" w:sz="4" w:space="0"/>
              <w:bottom w:val="single" w:color="000000" w:sz="4" w:space="0"/>
              <w:right w:val="single" w:color="000000" w:sz="4" w:space="0"/>
            </w:tcBorders>
          </w:tcPr>
          <w:p w14:paraId="2FF2338B">
            <w:pPr>
              <w:pStyle w:val="19"/>
              <w:spacing w:before="8"/>
              <w:rPr>
                <w:rFonts w:hint="eastAsia" w:ascii="仿宋_GB2312" w:hAnsi="仿宋_GB2312" w:eastAsia="仿宋_GB2312" w:cs="仿宋_GB2312"/>
                <w:b/>
                <w:sz w:val="24"/>
              </w:rPr>
            </w:pPr>
          </w:p>
          <w:p w14:paraId="79B02AEB">
            <w:pPr>
              <w:pStyle w:val="19"/>
              <w:ind w:left="107"/>
              <w:rPr>
                <w:rFonts w:hint="eastAsia" w:ascii="仿宋_GB2312" w:hAnsi="仿宋_GB2312" w:eastAsia="仿宋_GB2312" w:cs="仿宋_GB2312"/>
                <w:sz w:val="24"/>
              </w:rPr>
            </w:pPr>
            <w:r>
              <w:rPr>
                <w:rFonts w:hint="eastAsia" w:ascii="仿宋_GB2312" w:hAnsi="仿宋_GB2312" w:eastAsia="仿宋_GB2312" w:cs="仿宋_GB2312"/>
                <w:sz w:val="24"/>
              </w:rPr>
              <w:t>要求发布日期</w:t>
            </w:r>
          </w:p>
        </w:tc>
        <w:tc>
          <w:tcPr>
            <w:tcW w:w="3056" w:type="dxa"/>
            <w:gridSpan w:val="3"/>
            <w:tcBorders>
              <w:top w:val="single" w:color="000000" w:sz="4" w:space="0"/>
              <w:left w:val="single" w:color="000000" w:sz="4" w:space="0"/>
              <w:bottom w:val="single" w:color="000000" w:sz="4" w:space="0"/>
              <w:right w:val="single" w:color="000000" w:sz="4" w:space="0"/>
            </w:tcBorders>
          </w:tcPr>
          <w:p w14:paraId="766B67E3">
            <w:pPr>
              <w:pStyle w:val="19"/>
              <w:spacing w:before="8"/>
              <w:rPr>
                <w:rFonts w:hint="eastAsia" w:ascii="仿宋_GB2312" w:hAnsi="仿宋_GB2312" w:eastAsia="仿宋_GB2312" w:cs="仿宋_GB2312"/>
                <w:b/>
                <w:sz w:val="24"/>
              </w:rPr>
            </w:pPr>
          </w:p>
          <w:p w14:paraId="117D6CAC">
            <w:pPr>
              <w:pStyle w:val="19"/>
              <w:tabs>
                <w:tab w:val="left" w:pos="1077"/>
                <w:tab w:val="left" w:pos="2037"/>
              </w:tabs>
              <w:ind w:left="118"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年</w:t>
            </w:r>
            <w:r>
              <w:rPr>
                <w:rFonts w:hint="eastAsia" w:ascii="仿宋_GB2312" w:hAnsi="仿宋_GB2312" w:eastAsia="仿宋_GB2312" w:cs="仿宋_GB2312"/>
                <w:sz w:val="24"/>
              </w:rPr>
              <w:tab/>
            </w:r>
            <w:r>
              <w:rPr>
                <w:rFonts w:hint="eastAsia" w:ascii="仿宋_GB2312" w:hAnsi="仿宋_GB2312" w:eastAsia="仿宋_GB2312" w:cs="仿宋_GB2312"/>
                <w:sz w:val="24"/>
                <w:lang w:val="en-US"/>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rPr>
              <w:t xml:space="preserve"> </w:t>
            </w:r>
            <w:r>
              <w:rPr>
                <w:rFonts w:hint="eastAsia" w:ascii="仿宋_GB2312" w:hAnsi="仿宋_GB2312" w:eastAsia="仿宋_GB2312" w:cs="仿宋_GB2312"/>
                <w:sz w:val="24"/>
              </w:rPr>
              <w:tab/>
            </w:r>
            <w:r>
              <w:rPr>
                <w:rFonts w:hint="eastAsia" w:ascii="仿宋_GB2312" w:hAnsi="仿宋_GB2312" w:eastAsia="仿宋_GB2312" w:cs="仿宋_GB2312"/>
                <w:sz w:val="24"/>
                <w:lang w:val="en-US"/>
              </w:rPr>
              <w:t xml:space="preserve">  </w:t>
            </w:r>
            <w:r>
              <w:rPr>
                <w:rFonts w:hint="eastAsia" w:ascii="仿宋_GB2312" w:hAnsi="仿宋_GB2312" w:eastAsia="仿宋_GB2312" w:cs="仿宋_GB2312"/>
                <w:sz w:val="24"/>
              </w:rPr>
              <w:t>日</w:t>
            </w:r>
          </w:p>
        </w:tc>
        <w:tc>
          <w:tcPr>
            <w:tcW w:w="1620" w:type="dxa"/>
            <w:gridSpan w:val="3"/>
            <w:tcBorders>
              <w:top w:val="single" w:color="000000" w:sz="4" w:space="0"/>
              <w:left w:val="single" w:color="000000" w:sz="4" w:space="0"/>
              <w:bottom w:val="single" w:color="000000" w:sz="4" w:space="0"/>
              <w:right w:val="single" w:color="000000" w:sz="4" w:space="0"/>
            </w:tcBorders>
          </w:tcPr>
          <w:p w14:paraId="13BECA0B">
            <w:pPr>
              <w:pStyle w:val="19"/>
              <w:spacing w:before="80"/>
              <w:ind w:left="117"/>
              <w:jc w:val="center"/>
              <w:rPr>
                <w:rFonts w:hint="eastAsia" w:ascii="仿宋_GB2312" w:hAnsi="仿宋_GB2312" w:eastAsia="仿宋_GB2312" w:cs="仿宋_GB2312"/>
                <w:sz w:val="24"/>
              </w:rPr>
            </w:pPr>
            <w:r>
              <w:rPr>
                <w:rFonts w:hint="eastAsia" w:ascii="仿宋_GB2312" w:hAnsi="仿宋_GB2312" w:eastAsia="仿宋_GB2312" w:cs="仿宋_GB2312"/>
                <w:sz w:val="24"/>
              </w:rPr>
              <w:t>信息保留时间</w:t>
            </w:r>
          </w:p>
        </w:tc>
        <w:tc>
          <w:tcPr>
            <w:tcW w:w="2538" w:type="dxa"/>
            <w:gridSpan w:val="2"/>
            <w:tcBorders>
              <w:top w:val="single" w:color="000000" w:sz="4" w:space="0"/>
              <w:left w:val="single" w:color="000000" w:sz="4" w:space="0"/>
              <w:bottom w:val="single" w:color="000000" w:sz="4" w:space="0"/>
            </w:tcBorders>
          </w:tcPr>
          <w:p w14:paraId="1959CD62">
            <w:pPr>
              <w:pStyle w:val="19"/>
              <w:rPr>
                <w:rFonts w:hint="eastAsia" w:ascii="仿宋_GB2312" w:hAnsi="仿宋_GB2312" w:eastAsia="仿宋_GB2312" w:cs="仿宋_GB2312"/>
                <w:sz w:val="24"/>
              </w:rPr>
            </w:pPr>
          </w:p>
        </w:tc>
      </w:tr>
      <w:tr w14:paraId="7FF14A8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52" w:hRule="atLeast"/>
        </w:trPr>
        <w:tc>
          <w:tcPr>
            <w:tcW w:w="1905" w:type="dxa"/>
            <w:tcBorders>
              <w:top w:val="single" w:color="000000" w:sz="4" w:space="0"/>
              <w:bottom w:val="single" w:color="000000" w:sz="4" w:space="0"/>
              <w:right w:val="single" w:color="000000" w:sz="4" w:space="0"/>
            </w:tcBorders>
          </w:tcPr>
          <w:p w14:paraId="2CB4EFBF">
            <w:pPr>
              <w:pStyle w:val="19"/>
              <w:rPr>
                <w:rFonts w:hint="eastAsia" w:ascii="仿宋_GB2312" w:hAnsi="仿宋_GB2312" w:eastAsia="仿宋_GB2312" w:cs="仿宋_GB2312"/>
                <w:b/>
                <w:sz w:val="24"/>
              </w:rPr>
            </w:pPr>
          </w:p>
          <w:p w14:paraId="345E4D6D">
            <w:pPr>
              <w:pStyle w:val="19"/>
              <w:rPr>
                <w:rFonts w:hint="eastAsia" w:ascii="仿宋_GB2312" w:hAnsi="仿宋_GB2312" w:eastAsia="仿宋_GB2312" w:cs="仿宋_GB2312"/>
                <w:b/>
                <w:sz w:val="24"/>
              </w:rPr>
            </w:pPr>
          </w:p>
          <w:p w14:paraId="20CD1CAD">
            <w:pPr>
              <w:pStyle w:val="19"/>
              <w:rPr>
                <w:rFonts w:hint="eastAsia" w:ascii="仿宋_GB2312" w:hAnsi="仿宋_GB2312" w:eastAsia="仿宋_GB2312" w:cs="仿宋_GB2312"/>
                <w:b/>
                <w:sz w:val="24"/>
              </w:rPr>
            </w:pPr>
          </w:p>
          <w:p w14:paraId="77D1D6A9">
            <w:pPr>
              <w:pStyle w:val="19"/>
              <w:rPr>
                <w:rFonts w:hint="eastAsia" w:ascii="仿宋_GB2312" w:hAnsi="仿宋_GB2312" w:eastAsia="仿宋_GB2312" w:cs="仿宋_GB2312"/>
                <w:b/>
                <w:sz w:val="24"/>
              </w:rPr>
            </w:pPr>
          </w:p>
          <w:p w14:paraId="48250BFA">
            <w:pPr>
              <w:pStyle w:val="19"/>
              <w:rPr>
                <w:rFonts w:hint="eastAsia" w:ascii="仿宋_GB2312" w:hAnsi="仿宋_GB2312" w:eastAsia="仿宋_GB2312" w:cs="仿宋_GB2312"/>
                <w:b/>
                <w:sz w:val="24"/>
              </w:rPr>
            </w:pPr>
          </w:p>
          <w:p w14:paraId="504955F4">
            <w:pPr>
              <w:pStyle w:val="19"/>
              <w:rPr>
                <w:rFonts w:hint="eastAsia" w:ascii="仿宋_GB2312" w:hAnsi="仿宋_GB2312" w:eastAsia="仿宋_GB2312" w:cs="仿宋_GB2312"/>
                <w:b/>
                <w:sz w:val="24"/>
              </w:rPr>
            </w:pPr>
          </w:p>
          <w:p w14:paraId="28734D34">
            <w:pPr>
              <w:pStyle w:val="19"/>
              <w:spacing w:before="8"/>
              <w:rPr>
                <w:rFonts w:hint="eastAsia" w:ascii="仿宋_GB2312" w:hAnsi="仿宋_GB2312" w:eastAsia="仿宋_GB2312" w:cs="仿宋_GB2312"/>
                <w:b/>
                <w:sz w:val="18"/>
              </w:rPr>
            </w:pPr>
          </w:p>
          <w:p w14:paraId="6A659C61">
            <w:pPr>
              <w:pStyle w:val="19"/>
              <w:ind w:left="107"/>
              <w:rPr>
                <w:rFonts w:hint="eastAsia" w:ascii="仿宋_GB2312" w:hAnsi="仿宋_GB2312" w:eastAsia="仿宋_GB2312" w:cs="仿宋_GB2312"/>
                <w:sz w:val="24"/>
              </w:rPr>
            </w:pPr>
            <w:r>
              <w:rPr>
                <w:rFonts w:hint="eastAsia" w:ascii="仿宋_GB2312" w:hAnsi="仿宋_GB2312" w:eastAsia="仿宋_GB2312" w:cs="仿宋_GB2312"/>
                <w:sz w:val="24"/>
              </w:rPr>
              <w:t>信息发布内容</w:t>
            </w:r>
          </w:p>
        </w:tc>
        <w:tc>
          <w:tcPr>
            <w:tcW w:w="7214" w:type="dxa"/>
            <w:gridSpan w:val="8"/>
            <w:tcBorders>
              <w:top w:val="single" w:color="000000" w:sz="4" w:space="0"/>
              <w:left w:val="single" w:color="000000" w:sz="4" w:space="0"/>
              <w:bottom w:val="single" w:color="000000" w:sz="4" w:space="0"/>
            </w:tcBorders>
          </w:tcPr>
          <w:p w14:paraId="572D22EF">
            <w:pPr>
              <w:pStyle w:val="19"/>
              <w:spacing w:before="80"/>
              <w:ind w:left="118"/>
              <w:rPr>
                <w:rFonts w:hint="eastAsia" w:ascii="仿宋_GB2312" w:hAnsi="仿宋_GB2312" w:eastAsia="仿宋_GB2312" w:cs="仿宋_GB2312"/>
                <w:sz w:val="24"/>
              </w:rPr>
            </w:pPr>
            <w:r>
              <w:rPr>
                <w:rFonts w:hint="eastAsia" w:ascii="仿宋_GB2312" w:hAnsi="仿宋_GB2312" w:eastAsia="仿宋_GB2312" w:cs="仿宋_GB2312"/>
                <w:spacing w:val="-19"/>
                <w:sz w:val="24"/>
              </w:rPr>
              <w:t>突发事件性质：</w:t>
            </w:r>
            <w:r>
              <w:rPr>
                <w:rFonts w:hint="eastAsia" w:ascii="仿宋_GB2312" w:hAnsi="仿宋_GB2312" w:eastAsia="仿宋_GB2312" w:cs="仿宋_GB2312"/>
                <w:spacing w:val="-19"/>
                <w:sz w:val="24"/>
                <w:u w:val="single"/>
                <w:lang w:val="en-US" w:eastAsia="zh-CN"/>
              </w:rPr>
              <w:t xml:space="preserve">          </w:t>
            </w:r>
            <w:r>
              <w:rPr>
                <w:rFonts w:hint="eastAsia" w:ascii="仿宋_GB2312" w:hAnsi="仿宋_GB2312" w:eastAsia="仿宋_GB2312" w:cs="仿宋_GB2312"/>
                <w:spacing w:val="-19"/>
                <w:sz w:val="24"/>
                <w:lang w:val="en-US" w:eastAsia="zh-CN"/>
              </w:rPr>
              <w:t xml:space="preserve">  </w:t>
            </w:r>
            <w:r>
              <w:rPr>
                <w:rFonts w:hint="eastAsia" w:ascii="仿宋_GB2312" w:hAnsi="仿宋_GB2312" w:eastAsia="仿宋_GB2312" w:cs="仿宋_GB2312"/>
                <w:spacing w:val="-19"/>
                <w:sz w:val="24"/>
              </w:rPr>
              <w:t>，初步判定级别：</w:t>
            </w:r>
            <w:r>
              <w:rPr>
                <w:rFonts w:hint="eastAsia" w:ascii="仿宋_GB2312" w:hAnsi="仿宋_GB2312" w:eastAsia="仿宋_GB2312" w:cs="仿宋_GB2312"/>
                <w:spacing w:val="-19"/>
                <w:sz w:val="24"/>
                <w:u w:val="single"/>
                <w:lang w:val="en-US" w:eastAsia="zh-CN"/>
              </w:rPr>
              <w:t xml:space="preserve">             </w:t>
            </w:r>
            <w:r>
              <w:rPr>
                <w:rFonts w:hint="eastAsia" w:ascii="仿宋_GB2312" w:hAnsi="仿宋_GB2312" w:eastAsia="仿宋_GB2312" w:cs="仿宋_GB2312"/>
                <w:spacing w:val="-19"/>
                <w:sz w:val="24"/>
              </w:rPr>
              <w:t>，</w:t>
            </w:r>
          </w:p>
          <w:p w14:paraId="7671B86A">
            <w:pPr>
              <w:pStyle w:val="19"/>
              <w:tabs>
                <w:tab w:val="left" w:pos="2877"/>
              </w:tabs>
              <w:spacing w:before="160"/>
              <w:ind w:left="118"/>
              <w:rPr>
                <w:rFonts w:hint="default" w:ascii="仿宋_GB2312" w:hAnsi="仿宋_GB2312" w:eastAsia="仿宋_GB2312" w:cs="仿宋_GB2312"/>
                <w:sz w:val="24"/>
                <w:lang w:val="en-US"/>
              </w:rPr>
            </w:pPr>
            <w:r>
              <w:rPr>
                <w:rFonts w:hint="eastAsia" w:ascii="仿宋_GB2312" w:hAnsi="仿宋_GB2312" w:eastAsia="仿宋_GB2312" w:cs="仿宋_GB2312"/>
                <w:sz w:val="24"/>
              </w:rPr>
              <w:t>发生时间：</w:t>
            </w:r>
            <w:r>
              <w:rPr>
                <w:rFonts w:hint="eastAsia" w:ascii="仿宋_GB2312" w:hAnsi="仿宋_GB2312" w:eastAsia="仿宋_GB2312" w:cs="仿宋_GB2312"/>
                <w:sz w:val="24"/>
                <w:u w:val="single"/>
              </w:rPr>
              <w:tab/>
            </w:r>
            <w:r>
              <w:rPr>
                <w:rFonts w:hint="eastAsia" w:ascii="仿宋_GB2312" w:hAnsi="仿宋_GB2312" w:eastAsia="仿宋_GB2312" w:cs="仿宋_GB2312"/>
                <w:sz w:val="24"/>
              </w:rPr>
              <w:t>，发生地点</w:t>
            </w:r>
            <w:r>
              <w:rPr>
                <w:rFonts w:hint="eastAsia" w:ascii="仿宋_GB2312" w:hAnsi="仿宋_GB2312" w:eastAsia="仿宋_GB2312" w:cs="仿宋_GB2312"/>
                <w:spacing w:val="-120"/>
                <w:sz w:val="24"/>
              </w:rPr>
              <w:t>：</w:t>
            </w:r>
            <w:r>
              <w:rPr>
                <w:rFonts w:hint="eastAsia" w:ascii="仿宋_GB2312" w:hAnsi="仿宋_GB2312" w:eastAsia="仿宋_GB2312" w:cs="仿宋_GB2312"/>
                <w:spacing w:val="-120"/>
                <w:sz w:val="24"/>
                <w:lang w:val="en-US" w:eastAsia="zh-CN"/>
              </w:rPr>
              <w:t xml:space="preserve">                     </w:t>
            </w:r>
            <w:r>
              <w:rPr>
                <w:rFonts w:hint="eastAsia" w:ascii="仿宋_GB2312" w:hAnsi="仿宋_GB2312" w:eastAsia="仿宋_GB2312" w:cs="仿宋_GB2312"/>
                <w:spacing w:val="-19"/>
                <w:sz w:val="24"/>
                <w:u w:val="single"/>
                <w:lang w:val="en-US" w:eastAsia="zh-CN"/>
              </w:rPr>
              <w:t xml:space="preserve">                 </w:t>
            </w:r>
            <w:r>
              <w:rPr>
                <w:rFonts w:hint="eastAsia" w:ascii="仿宋_GB2312" w:hAnsi="仿宋_GB2312" w:eastAsia="仿宋_GB2312" w:cs="仿宋_GB2312"/>
                <w:spacing w:val="-19"/>
                <w:sz w:val="24"/>
                <w:u w:val="none"/>
                <w:lang w:val="en-US" w:eastAsia="zh-CN"/>
              </w:rPr>
              <w:t>，</w:t>
            </w:r>
          </w:p>
          <w:p w14:paraId="4B5EB9B1">
            <w:pPr>
              <w:pStyle w:val="19"/>
              <w:tabs>
                <w:tab w:val="left" w:pos="2877"/>
              </w:tabs>
              <w:spacing w:before="160"/>
              <w:ind w:left="118"/>
              <w:rPr>
                <w:rFonts w:hint="eastAsia" w:ascii="仿宋_GB2312" w:hAnsi="仿宋_GB2312" w:eastAsia="仿宋_GB2312" w:cs="仿宋_GB2312"/>
                <w:spacing w:val="-18"/>
                <w:sz w:val="24"/>
              </w:rPr>
            </w:pPr>
            <w:r>
              <w:rPr>
                <w:rFonts w:hint="eastAsia" w:ascii="仿宋_GB2312" w:hAnsi="仿宋_GB2312" w:eastAsia="仿宋_GB2312" w:cs="仿宋_GB2312"/>
                <w:sz w:val="24"/>
              </w:rPr>
              <w:t>人员伤亡：</w:t>
            </w:r>
            <w:r>
              <w:rPr>
                <w:rFonts w:hint="eastAsia" w:ascii="仿宋_GB2312" w:hAnsi="仿宋_GB2312" w:eastAsia="仿宋_GB2312" w:cs="仿宋_GB2312"/>
                <w:sz w:val="24"/>
                <w:u w:val="single"/>
              </w:rPr>
              <w:tab/>
            </w:r>
            <w:r>
              <w:rPr>
                <w:rFonts w:hint="eastAsia" w:ascii="仿宋_GB2312" w:hAnsi="仿宋_GB2312" w:eastAsia="仿宋_GB2312" w:cs="仿宋_GB2312"/>
                <w:sz w:val="24"/>
              </w:rPr>
              <w:t>，财产损失：</w:t>
            </w:r>
            <w:r>
              <w:rPr>
                <w:rFonts w:hint="eastAsia" w:ascii="仿宋_GB2312" w:hAnsi="仿宋_GB2312" w:eastAsia="仿宋_GB2312" w:cs="仿宋_GB2312"/>
                <w:spacing w:val="-19"/>
                <w:sz w:val="24"/>
                <w:u w:val="single"/>
                <w:lang w:val="en-US" w:eastAsia="zh-CN"/>
              </w:rPr>
              <w:t xml:space="preserve">                </w:t>
            </w:r>
            <w:r>
              <w:rPr>
                <w:rFonts w:hint="eastAsia" w:ascii="仿宋_GB2312" w:hAnsi="仿宋_GB2312" w:eastAsia="仿宋_GB2312" w:cs="仿宋_GB2312"/>
                <w:spacing w:val="-18"/>
                <w:sz w:val="24"/>
              </w:rPr>
              <w:t>。</w:t>
            </w:r>
          </w:p>
          <w:p w14:paraId="5726C49A">
            <w:pPr>
              <w:pStyle w:val="19"/>
              <w:tabs>
                <w:tab w:val="left" w:pos="2877"/>
              </w:tabs>
              <w:spacing w:before="160"/>
              <w:ind w:left="118"/>
              <w:rPr>
                <w:rFonts w:hint="eastAsia" w:ascii="仿宋_GB2312" w:hAnsi="仿宋_GB2312" w:eastAsia="仿宋_GB2312" w:cs="仿宋_GB2312"/>
                <w:sz w:val="24"/>
              </w:rPr>
            </w:pPr>
            <w:r>
              <w:rPr>
                <w:rFonts w:hint="eastAsia" w:ascii="仿宋_GB2312" w:hAnsi="仿宋_GB2312" w:eastAsia="仿宋_GB2312" w:cs="仿宋_GB2312"/>
                <w:sz w:val="24"/>
              </w:rPr>
              <w:t>救援进展：</w:t>
            </w:r>
          </w:p>
          <w:p w14:paraId="05512CE1">
            <w:pPr>
              <w:pStyle w:val="19"/>
              <w:rPr>
                <w:rFonts w:hint="eastAsia" w:ascii="仿宋_GB2312" w:hAnsi="仿宋_GB2312" w:eastAsia="仿宋_GB2312" w:cs="仿宋_GB2312"/>
                <w:b/>
                <w:sz w:val="24"/>
              </w:rPr>
            </w:pPr>
          </w:p>
          <w:p w14:paraId="16335A8E">
            <w:pPr>
              <w:pStyle w:val="19"/>
              <w:spacing w:before="162"/>
              <w:ind w:left="118"/>
              <w:rPr>
                <w:rFonts w:hint="eastAsia" w:ascii="仿宋_GB2312" w:hAnsi="仿宋_GB2312" w:eastAsia="仿宋_GB2312" w:cs="仿宋_GB2312"/>
                <w:sz w:val="24"/>
              </w:rPr>
            </w:pPr>
            <w:r>
              <w:rPr>
                <w:rFonts w:hint="eastAsia" w:ascii="仿宋_GB2312" w:hAnsi="仿宋_GB2312" w:eastAsia="仿宋_GB2312" w:cs="仿宋_GB2312"/>
                <w:sz w:val="24"/>
              </w:rPr>
              <w:t>影响情况：</w:t>
            </w:r>
          </w:p>
          <w:p w14:paraId="5844E8BA">
            <w:pPr>
              <w:pStyle w:val="19"/>
              <w:spacing w:before="162"/>
              <w:ind w:left="118"/>
              <w:rPr>
                <w:rFonts w:hint="eastAsia" w:ascii="仿宋_GB2312" w:hAnsi="仿宋_GB2312" w:eastAsia="仿宋_GB2312" w:cs="仿宋_GB2312"/>
                <w:sz w:val="24"/>
              </w:rPr>
            </w:pPr>
          </w:p>
          <w:p w14:paraId="4B25B082">
            <w:pPr>
              <w:pStyle w:val="19"/>
              <w:spacing w:before="160"/>
              <w:ind w:left="118"/>
              <w:rPr>
                <w:rFonts w:hint="eastAsia" w:ascii="仿宋_GB2312" w:hAnsi="仿宋_GB2312" w:eastAsia="仿宋_GB2312" w:cs="仿宋_GB2312"/>
                <w:sz w:val="24"/>
              </w:rPr>
            </w:pPr>
            <w:r>
              <w:rPr>
                <w:rFonts w:hint="eastAsia" w:ascii="仿宋_GB2312" w:hAnsi="仿宋_GB2312" w:eastAsia="仿宋_GB2312" w:cs="仿宋_GB2312"/>
                <w:sz w:val="24"/>
              </w:rPr>
              <w:t>事故点交通管制情况：</w:t>
            </w:r>
          </w:p>
        </w:tc>
      </w:tr>
      <w:tr w14:paraId="32F54ED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04" w:hRule="atLeast"/>
        </w:trPr>
        <w:tc>
          <w:tcPr>
            <w:tcW w:w="1905" w:type="dxa"/>
            <w:tcBorders>
              <w:top w:val="single" w:color="000000" w:sz="4" w:space="0"/>
              <w:bottom w:val="single" w:color="000000" w:sz="4" w:space="0"/>
              <w:right w:val="single" w:color="000000" w:sz="4" w:space="0"/>
            </w:tcBorders>
          </w:tcPr>
          <w:p w14:paraId="66C54568">
            <w:pPr>
              <w:pStyle w:val="19"/>
              <w:rPr>
                <w:rFonts w:hint="eastAsia" w:ascii="仿宋_GB2312" w:hAnsi="仿宋_GB2312" w:eastAsia="仿宋_GB2312" w:cs="仿宋_GB2312"/>
                <w:b/>
                <w:sz w:val="24"/>
              </w:rPr>
            </w:pPr>
          </w:p>
          <w:p w14:paraId="39048651">
            <w:pPr>
              <w:pStyle w:val="19"/>
              <w:spacing w:before="11"/>
              <w:rPr>
                <w:rFonts w:hint="eastAsia" w:ascii="仿宋_GB2312" w:hAnsi="仿宋_GB2312" w:eastAsia="仿宋_GB2312" w:cs="仿宋_GB2312"/>
                <w:b/>
                <w:sz w:val="18"/>
              </w:rPr>
            </w:pPr>
          </w:p>
          <w:p w14:paraId="7DA19B9A">
            <w:pPr>
              <w:pStyle w:val="19"/>
              <w:ind w:left="107"/>
              <w:rPr>
                <w:rFonts w:hint="eastAsia" w:ascii="仿宋_GB2312" w:hAnsi="仿宋_GB2312" w:eastAsia="仿宋_GB2312" w:cs="仿宋_GB2312"/>
                <w:sz w:val="24"/>
              </w:rPr>
            </w:pPr>
            <w:r>
              <w:rPr>
                <w:rFonts w:hint="eastAsia" w:ascii="仿宋_GB2312" w:hAnsi="仿宋_GB2312" w:eastAsia="仿宋_GB2312" w:cs="仿宋_GB2312"/>
                <w:sz w:val="24"/>
              </w:rPr>
              <w:t>负责人审核意见</w:t>
            </w:r>
          </w:p>
        </w:tc>
        <w:tc>
          <w:tcPr>
            <w:tcW w:w="4309" w:type="dxa"/>
            <w:gridSpan w:val="4"/>
            <w:tcBorders>
              <w:top w:val="single" w:color="000000" w:sz="4" w:space="0"/>
              <w:left w:val="single" w:color="000000" w:sz="4" w:space="0"/>
              <w:bottom w:val="single" w:color="000000" w:sz="4" w:space="0"/>
              <w:right w:val="nil"/>
            </w:tcBorders>
          </w:tcPr>
          <w:p w14:paraId="3BDB5C68">
            <w:pPr>
              <w:pStyle w:val="19"/>
              <w:rPr>
                <w:rFonts w:hint="eastAsia" w:ascii="仿宋_GB2312" w:hAnsi="仿宋_GB2312" w:eastAsia="仿宋_GB2312" w:cs="仿宋_GB2312"/>
                <w:b/>
                <w:sz w:val="26"/>
              </w:rPr>
            </w:pPr>
          </w:p>
          <w:p w14:paraId="6974C630">
            <w:pPr>
              <w:pStyle w:val="19"/>
              <w:tabs>
                <w:tab w:val="left" w:pos="3297"/>
              </w:tabs>
              <w:spacing w:before="216"/>
              <w:ind w:left="118"/>
              <w:rPr>
                <w:rFonts w:hint="eastAsia" w:ascii="仿宋_GB2312" w:hAnsi="仿宋_GB2312" w:eastAsia="仿宋_GB2312" w:cs="仿宋_GB2312"/>
                <w:sz w:val="24"/>
              </w:rPr>
            </w:pPr>
            <w:r>
              <w:rPr>
                <w:rFonts w:hint="eastAsia" w:ascii="仿宋_GB2312" w:hAnsi="仿宋_GB2312" w:eastAsia="仿宋_GB2312" w:cs="仿宋_GB2312"/>
                <w:sz w:val="24"/>
              </w:rPr>
              <w:t>审核人：</w:t>
            </w:r>
            <w:r>
              <w:rPr>
                <w:rFonts w:hint="eastAsia" w:ascii="仿宋_GB2312" w:hAnsi="仿宋_GB2312" w:eastAsia="仿宋_GB2312" w:cs="仿宋_GB2312"/>
                <w:sz w:val="24"/>
                <w:u w:val="single"/>
              </w:rPr>
              <w:tab/>
            </w:r>
          </w:p>
        </w:tc>
        <w:tc>
          <w:tcPr>
            <w:tcW w:w="1446" w:type="dxa"/>
            <w:gridSpan w:val="3"/>
            <w:tcBorders>
              <w:top w:val="single" w:color="000000" w:sz="4" w:space="0"/>
              <w:left w:val="nil"/>
              <w:bottom w:val="single" w:color="000000" w:sz="4" w:space="0"/>
              <w:right w:val="nil"/>
            </w:tcBorders>
          </w:tcPr>
          <w:p w14:paraId="3FE4196C">
            <w:pPr>
              <w:pStyle w:val="19"/>
              <w:rPr>
                <w:rFonts w:hint="eastAsia" w:ascii="仿宋_GB2312" w:hAnsi="仿宋_GB2312" w:eastAsia="仿宋_GB2312" w:cs="仿宋_GB2312"/>
                <w:b/>
                <w:sz w:val="24"/>
              </w:rPr>
            </w:pPr>
          </w:p>
          <w:p w14:paraId="2CB012FC">
            <w:pPr>
              <w:pStyle w:val="19"/>
              <w:rPr>
                <w:rFonts w:hint="eastAsia" w:ascii="仿宋_GB2312" w:hAnsi="仿宋_GB2312" w:eastAsia="仿宋_GB2312" w:cs="仿宋_GB2312"/>
                <w:b/>
                <w:sz w:val="24"/>
              </w:rPr>
            </w:pPr>
          </w:p>
          <w:p w14:paraId="79D523B6">
            <w:pPr>
              <w:pStyle w:val="19"/>
              <w:spacing w:before="5"/>
              <w:rPr>
                <w:rFonts w:hint="eastAsia" w:ascii="仿宋_GB2312" w:hAnsi="仿宋_GB2312" w:eastAsia="仿宋_GB2312" w:cs="仿宋_GB2312"/>
                <w:b/>
                <w:sz w:val="31"/>
              </w:rPr>
            </w:pPr>
          </w:p>
          <w:p w14:paraId="00C7F8FA">
            <w:pPr>
              <w:pStyle w:val="19"/>
              <w:tabs>
                <w:tab w:val="left" w:pos="1093"/>
              </w:tabs>
              <w:ind w:left="133"/>
              <w:rPr>
                <w:rFonts w:hint="eastAsia" w:ascii="仿宋_GB2312" w:hAnsi="仿宋_GB2312" w:eastAsia="仿宋_GB2312" w:cs="仿宋_GB2312"/>
                <w:sz w:val="24"/>
              </w:rPr>
            </w:pPr>
            <w:r>
              <w:rPr>
                <w:rFonts w:hint="eastAsia" w:ascii="仿宋_GB2312" w:hAnsi="仿宋_GB2312" w:eastAsia="仿宋_GB2312" w:cs="仿宋_GB2312"/>
                <w:sz w:val="24"/>
              </w:rPr>
              <w:t>年</w:t>
            </w:r>
            <w:r>
              <w:rPr>
                <w:rFonts w:hint="eastAsia" w:ascii="仿宋_GB2312" w:hAnsi="仿宋_GB2312" w:eastAsia="仿宋_GB2312" w:cs="仿宋_GB2312"/>
                <w:sz w:val="24"/>
              </w:rPr>
              <w:tab/>
            </w:r>
            <w:r>
              <w:rPr>
                <w:rFonts w:hint="eastAsia" w:ascii="仿宋_GB2312" w:hAnsi="仿宋_GB2312" w:eastAsia="仿宋_GB2312" w:cs="仿宋_GB2312"/>
                <w:sz w:val="24"/>
              </w:rPr>
              <w:t>月</w:t>
            </w:r>
          </w:p>
        </w:tc>
        <w:tc>
          <w:tcPr>
            <w:tcW w:w="1459" w:type="dxa"/>
            <w:tcBorders>
              <w:top w:val="single" w:color="000000" w:sz="4" w:space="0"/>
              <w:left w:val="nil"/>
              <w:bottom w:val="single" w:color="000000" w:sz="4" w:space="0"/>
            </w:tcBorders>
          </w:tcPr>
          <w:p w14:paraId="12A74C0A">
            <w:pPr>
              <w:pStyle w:val="19"/>
              <w:rPr>
                <w:rFonts w:hint="eastAsia" w:ascii="仿宋_GB2312" w:hAnsi="仿宋_GB2312" w:eastAsia="仿宋_GB2312" w:cs="仿宋_GB2312"/>
                <w:b/>
                <w:sz w:val="24"/>
              </w:rPr>
            </w:pPr>
          </w:p>
          <w:p w14:paraId="371CDE79">
            <w:pPr>
              <w:pStyle w:val="19"/>
              <w:rPr>
                <w:rFonts w:hint="eastAsia" w:ascii="仿宋_GB2312" w:hAnsi="仿宋_GB2312" w:eastAsia="仿宋_GB2312" w:cs="仿宋_GB2312"/>
                <w:b/>
                <w:sz w:val="24"/>
              </w:rPr>
            </w:pPr>
          </w:p>
          <w:p w14:paraId="698F87D5">
            <w:pPr>
              <w:pStyle w:val="19"/>
              <w:spacing w:before="5"/>
              <w:rPr>
                <w:rFonts w:hint="eastAsia" w:ascii="仿宋_GB2312" w:hAnsi="仿宋_GB2312" w:eastAsia="仿宋_GB2312" w:cs="仿宋_GB2312"/>
                <w:b/>
                <w:sz w:val="31"/>
              </w:rPr>
            </w:pPr>
          </w:p>
          <w:p w14:paraId="425ADDA1">
            <w:pPr>
              <w:pStyle w:val="19"/>
              <w:ind w:left="12"/>
              <w:jc w:val="center"/>
              <w:rPr>
                <w:rFonts w:hint="eastAsia" w:ascii="仿宋_GB2312" w:hAnsi="仿宋_GB2312" w:eastAsia="仿宋_GB2312" w:cs="仿宋_GB2312"/>
                <w:sz w:val="24"/>
              </w:rPr>
            </w:pPr>
            <w:r>
              <w:rPr>
                <w:rFonts w:hint="eastAsia" w:ascii="仿宋_GB2312" w:hAnsi="仿宋_GB2312" w:eastAsia="仿宋_GB2312" w:cs="仿宋_GB2312"/>
                <w:sz w:val="24"/>
              </w:rPr>
              <w:t>日</w:t>
            </w:r>
          </w:p>
        </w:tc>
      </w:tr>
      <w:tr w14:paraId="0D0F383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71" w:hRule="atLeast"/>
        </w:trPr>
        <w:tc>
          <w:tcPr>
            <w:tcW w:w="1905" w:type="dxa"/>
            <w:tcBorders>
              <w:top w:val="single" w:color="000000" w:sz="4" w:space="0"/>
              <w:bottom w:val="single" w:color="000000" w:sz="4" w:space="0"/>
              <w:right w:val="single" w:color="000000" w:sz="4" w:space="0"/>
            </w:tcBorders>
          </w:tcPr>
          <w:p w14:paraId="07DF6B46">
            <w:pPr>
              <w:pStyle w:val="19"/>
              <w:rPr>
                <w:rFonts w:hint="eastAsia" w:ascii="仿宋_GB2312" w:hAnsi="仿宋_GB2312" w:eastAsia="仿宋_GB2312" w:cs="仿宋_GB2312"/>
                <w:b/>
                <w:sz w:val="24"/>
              </w:rPr>
            </w:pPr>
          </w:p>
          <w:p w14:paraId="212320FE">
            <w:pPr>
              <w:pStyle w:val="19"/>
              <w:spacing w:before="10"/>
              <w:rPr>
                <w:rFonts w:hint="eastAsia" w:ascii="仿宋_GB2312" w:hAnsi="仿宋_GB2312" w:eastAsia="仿宋_GB2312" w:cs="仿宋_GB2312"/>
                <w:b/>
                <w:sz w:val="18"/>
              </w:rPr>
            </w:pPr>
          </w:p>
          <w:p w14:paraId="5BB56B77">
            <w:pPr>
              <w:pStyle w:val="19"/>
              <w:spacing w:before="1" w:line="364" w:lineRule="auto"/>
              <w:ind w:left="107" w:right="335"/>
              <w:rPr>
                <w:rFonts w:hint="eastAsia" w:ascii="仿宋_GB2312" w:hAnsi="仿宋_GB2312" w:eastAsia="仿宋_GB2312" w:cs="仿宋_GB2312"/>
                <w:sz w:val="24"/>
              </w:rPr>
            </w:pPr>
            <w:r>
              <w:rPr>
                <w:rFonts w:hint="eastAsia" w:ascii="仿宋_GB2312" w:hAnsi="仿宋_GB2312" w:eastAsia="仿宋_GB2312" w:cs="仿宋_GB2312"/>
                <w:sz w:val="24"/>
              </w:rPr>
              <w:t>主管（分管）领导审批意见</w:t>
            </w:r>
          </w:p>
        </w:tc>
        <w:tc>
          <w:tcPr>
            <w:tcW w:w="4309" w:type="dxa"/>
            <w:gridSpan w:val="4"/>
            <w:tcBorders>
              <w:top w:val="single" w:color="000000" w:sz="4" w:space="0"/>
              <w:left w:val="single" w:color="000000" w:sz="4" w:space="0"/>
              <w:bottom w:val="single" w:color="000000" w:sz="4" w:space="0"/>
              <w:right w:val="nil"/>
            </w:tcBorders>
          </w:tcPr>
          <w:p w14:paraId="59E8A11A">
            <w:pPr>
              <w:pStyle w:val="19"/>
              <w:rPr>
                <w:rFonts w:hint="eastAsia" w:ascii="仿宋_GB2312" w:hAnsi="仿宋_GB2312" w:eastAsia="仿宋_GB2312" w:cs="仿宋_GB2312"/>
                <w:b/>
                <w:sz w:val="26"/>
              </w:rPr>
            </w:pPr>
          </w:p>
          <w:p w14:paraId="4C79395D">
            <w:pPr>
              <w:pStyle w:val="19"/>
              <w:rPr>
                <w:rFonts w:hint="eastAsia" w:ascii="仿宋_GB2312" w:hAnsi="仿宋_GB2312" w:eastAsia="仿宋_GB2312" w:cs="仿宋_GB2312"/>
                <w:b/>
                <w:sz w:val="26"/>
              </w:rPr>
            </w:pPr>
          </w:p>
          <w:p w14:paraId="619A733C">
            <w:pPr>
              <w:pStyle w:val="19"/>
              <w:spacing w:before="4"/>
              <w:rPr>
                <w:rFonts w:hint="eastAsia" w:ascii="仿宋_GB2312" w:hAnsi="仿宋_GB2312" w:eastAsia="仿宋_GB2312" w:cs="仿宋_GB2312"/>
                <w:b/>
                <w:sz w:val="27"/>
              </w:rPr>
            </w:pPr>
          </w:p>
          <w:p w14:paraId="7D43A573">
            <w:pPr>
              <w:pStyle w:val="19"/>
              <w:tabs>
                <w:tab w:val="left" w:pos="3297"/>
              </w:tabs>
              <w:spacing w:before="1"/>
              <w:ind w:left="118"/>
              <w:rPr>
                <w:rFonts w:hint="eastAsia" w:ascii="仿宋_GB2312" w:hAnsi="仿宋_GB2312" w:eastAsia="仿宋_GB2312" w:cs="仿宋_GB2312"/>
                <w:sz w:val="24"/>
              </w:rPr>
            </w:pPr>
            <w:r>
              <w:rPr>
                <w:rFonts w:hint="eastAsia" w:ascii="仿宋_GB2312" w:hAnsi="仿宋_GB2312" w:eastAsia="仿宋_GB2312" w:cs="仿宋_GB2312"/>
                <w:sz w:val="24"/>
              </w:rPr>
              <w:t>审批人：</w:t>
            </w:r>
            <w:r>
              <w:rPr>
                <w:rFonts w:hint="eastAsia" w:ascii="仿宋_GB2312" w:hAnsi="仿宋_GB2312" w:eastAsia="仿宋_GB2312" w:cs="仿宋_GB2312"/>
                <w:sz w:val="24"/>
                <w:u w:val="single"/>
              </w:rPr>
              <w:tab/>
            </w:r>
          </w:p>
          <w:p w14:paraId="272F391F">
            <w:pPr>
              <w:pStyle w:val="19"/>
              <w:tabs>
                <w:tab w:val="left" w:pos="959"/>
              </w:tabs>
              <w:spacing w:before="160"/>
              <w:ind w:right="105"/>
              <w:jc w:val="right"/>
              <w:rPr>
                <w:rFonts w:hint="eastAsia" w:ascii="仿宋_GB2312" w:hAnsi="仿宋_GB2312" w:eastAsia="仿宋_GB2312" w:cs="仿宋_GB2312"/>
                <w:sz w:val="24"/>
              </w:rPr>
            </w:pPr>
            <w:r>
              <w:rPr>
                <w:rFonts w:hint="eastAsia" w:ascii="仿宋_GB2312" w:hAnsi="仿宋_GB2312" w:eastAsia="仿宋_GB2312" w:cs="仿宋_GB2312"/>
                <w:sz w:val="24"/>
              </w:rPr>
              <w:t>年</w:t>
            </w:r>
            <w:r>
              <w:rPr>
                <w:rFonts w:hint="eastAsia" w:ascii="仿宋_GB2312" w:hAnsi="仿宋_GB2312" w:eastAsia="仿宋_GB2312" w:cs="仿宋_GB2312"/>
                <w:sz w:val="24"/>
              </w:rPr>
              <w:tab/>
            </w:r>
            <w:r>
              <w:rPr>
                <w:rFonts w:hint="eastAsia" w:ascii="仿宋_GB2312" w:hAnsi="仿宋_GB2312" w:eastAsia="仿宋_GB2312" w:cs="仿宋_GB2312"/>
                <w:sz w:val="24"/>
              </w:rPr>
              <w:t>月</w:t>
            </w:r>
          </w:p>
        </w:tc>
        <w:tc>
          <w:tcPr>
            <w:tcW w:w="1446" w:type="dxa"/>
            <w:gridSpan w:val="3"/>
            <w:tcBorders>
              <w:top w:val="single" w:color="000000" w:sz="4" w:space="0"/>
              <w:left w:val="nil"/>
              <w:bottom w:val="single" w:color="000000" w:sz="4" w:space="0"/>
              <w:right w:val="nil"/>
            </w:tcBorders>
          </w:tcPr>
          <w:p w14:paraId="59AF15FA">
            <w:pPr>
              <w:pStyle w:val="19"/>
              <w:rPr>
                <w:rFonts w:hint="eastAsia" w:ascii="仿宋_GB2312" w:hAnsi="仿宋_GB2312" w:eastAsia="仿宋_GB2312" w:cs="仿宋_GB2312"/>
                <w:b/>
                <w:sz w:val="24"/>
              </w:rPr>
            </w:pPr>
          </w:p>
          <w:p w14:paraId="2CEB0F1C">
            <w:pPr>
              <w:pStyle w:val="19"/>
              <w:rPr>
                <w:rFonts w:hint="eastAsia" w:ascii="仿宋_GB2312" w:hAnsi="仿宋_GB2312" w:eastAsia="仿宋_GB2312" w:cs="仿宋_GB2312"/>
                <w:b/>
                <w:sz w:val="24"/>
              </w:rPr>
            </w:pPr>
          </w:p>
          <w:p w14:paraId="50AF5F3E">
            <w:pPr>
              <w:pStyle w:val="19"/>
              <w:rPr>
                <w:rFonts w:hint="eastAsia" w:ascii="仿宋_GB2312" w:hAnsi="仿宋_GB2312" w:eastAsia="仿宋_GB2312" w:cs="仿宋_GB2312"/>
                <w:b/>
                <w:sz w:val="24"/>
              </w:rPr>
            </w:pPr>
          </w:p>
          <w:p w14:paraId="72E59E98">
            <w:pPr>
              <w:pStyle w:val="19"/>
              <w:rPr>
                <w:rFonts w:hint="eastAsia" w:ascii="仿宋_GB2312" w:hAnsi="仿宋_GB2312" w:eastAsia="仿宋_GB2312" w:cs="仿宋_GB2312"/>
                <w:b/>
                <w:sz w:val="24"/>
              </w:rPr>
            </w:pPr>
          </w:p>
          <w:p w14:paraId="6E021B96">
            <w:pPr>
              <w:pStyle w:val="19"/>
              <w:spacing w:before="11"/>
              <w:rPr>
                <w:rFonts w:hint="eastAsia" w:ascii="仿宋_GB2312" w:hAnsi="仿宋_GB2312" w:eastAsia="仿宋_GB2312" w:cs="仿宋_GB2312"/>
                <w:b/>
                <w:sz w:val="19"/>
              </w:rPr>
            </w:pPr>
          </w:p>
          <w:p w14:paraId="61E938C2">
            <w:pPr>
              <w:pStyle w:val="19"/>
              <w:ind w:left="22"/>
              <w:jc w:val="center"/>
              <w:rPr>
                <w:rFonts w:hint="eastAsia" w:ascii="仿宋_GB2312" w:hAnsi="仿宋_GB2312" w:eastAsia="仿宋_GB2312" w:cs="仿宋_GB2312"/>
                <w:sz w:val="24"/>
              </w:rPr>
            </w:pPr>
            <w:r>
              <w:rPr>
                <w:rFonts w:hint="eastAsia" w:ascii="仿宋_GB2312" w:hAnsi="仿宋_GB2312" w:eastAsia="仿宋_GB2312" w:cs="仿宋_GB2312"/>
                <w:sz w:val="24"/>
              </w:rPr>
              <w:t>日</w:t>
            </w:r>
          </w:p>
        </w:tc>
        <w:tc>
          <w:tcPr>
            <w:tcW w:w="1459" w:type="dxa"/>
            <w:tcBorders>
              <w:top w:val="single" w:color="000000" w:sz="4" w:space="0"/>
              <w:left w:val="nil"/>
              <w:bottom w:val="single" w:color="000000" w:sz="4" w:space="0"/>
            </w:tcBorders>
          </w:tcPr>
          <w:p w14:paraId="4B3360A3">
            <w:pPr>
              <w:pStyle w:val="19"/>
              <w:rPr>
                <w:rFonts w:hint="eastAsia" w:ascii="仿宋_GB2312" w:hAnsi="仿宋_GB2312" w:eastAsia="仿宋_GB2312" w:cs="仿宋_GB2312"/>
                <w:sz w:val="24"/>
              </w:rPr>
            </w:pPr>
          </w:p>
        </w:tc>
      </w:tr>
      <w:tr w14:paraId="0341631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8" w:hRule="atLeast"/>
        </w:trPr>
        <w:tc>
          <w:tcPr>
            <w:tcW w:w="1905" w:type="dxa"/>
            <w:tcBorders>
              <w:top w:val="single" w:color="000000" w:sz="4" w:space="0"/>
              <w:right w:val="single" w:color="000000" w:sz="4" w:space="0"/>
            </w:tcBorders>
          </w:tcPr>
          <w:p w14:paraId="1BEC5825">
            <w:pPr>
              <w:pStyle w:val="19"/>
              <w:spacing w:before="83"/>
              <w:ind w:left="107"/>
              <w:rPr>
                <w:rFonts w:hint="eastAsia" w:ascii="仿宋_GB2312" w:hAnsi="仿宋_GB2312" w:eastAsia="仿宋_GB2312" w:cs="仿宋_GB2312"/>
                <w:sz w:val="24"/>
              </w:rPr>
            </w:pPr>
            <w:r>
              <w:rPr>
                <w:rFonts w:hint="eastAsia" w:ascii="仿宋_GB2312" w:hAnsi="仿宋_GB2312" w:eastAsia="仿宋_GB2312" w:cs="仿宋_GB2312"/>
                <w:sz w:val="24"/>
              </w:rPr>
              <w:t>信息校对人</w:t>
            </w:r>
          </w:p>
          <w:p w14:paraId="54FE45D4">
            <w:pPr>
              <w:pStyle w:val="19"/>
              <w:tabs>
                <w:tab w:val="left" w:pos="947"/>
              </w:tabs>
              <w:spacing w:before="160"/>
              <w:ind w:left="107"/>
              <w:rPr>
                <w:rFonts w:hint="eastAsia" w:ascii="仿宋_GB2312" w:hAnsi="仿宋_GB2312" w:eastAsia="仿宋_GB2312" w:cs="仿宋_GB2312"/>
                <w:sz w:val="24"/>
              </w:rPr>
            </w:pPr>
            <w:r>
              <w:rPr>
                <w:rFonts w:hint="eastAsia" w:ascii="仿宋_GB2312" w:hAnsi="仿宋_GB2312" w:eastAsia="仿宋_GB2312" w:cs="仿宋_GB2312"/>
                <w:sz w:val="24"/>
              </w:rPr>
              <w:t>签</w:t>
            </w:r>
            <w:r>
              <w:rPr>
                <w:rFonts w:hint="eastAsia" w:ascii="仿宋_GB2312" w:hAnsi="仿宋_GB2312" w:eastAsia="仿宋_GB2312" w:cs="仿宋_GB2312"/>
                <w:sz w:val="24"/>
              </w:rPr>
              <w:tab/>
            </w:r>
            <w:r>
              <w:rPr>
                <w:rFonts w:hint="eastAsia" w:ascii="仿宋_GB2312" w:hAnsi="仿宋_GB2312" w:eastAsia="仿宋_GB2312" w:cs="仿宋_GB2312"/>
                <w:sz w:val="24"/>
              </w:rPr>
              <w:t>名</w:t>
            </w:r>
          </w:p>
        </w:tc>
        <w:tc>
          <w:tcPr>
            <w:tcW w:w="2759" w:type="dxa"/>
            <w:gridSpan w:val="2"/>
            <w:tcBorders>
              <w:top w:val="single" w:color="000000" w:sz="4" w:space="0"/>
              <w:left w:val="single" w:color="000000" w:sz="4" w:space="0"/>
              <w:right w:val="single" w:color="000000" w:sz="4" w:space="0"/>
            </w:tcBorders>
          </w:tcPr>
          <w:p w14:paraId="39C9AD4F">
            <w:pPr>
              <w:pStyle w:val="19"/>
              <w:rPr>
                <w:rFonts w:hint="eastAsia" w:ascii="仿宋_GB2312" w:hAnsi="仿宋_GB2312" w:eastAsia="仿宋_GB2312" w:cs="仿宋_GB2312"/>
                <w:sz w:val="24"/>
              </w:rPr>
            </w:pPr>
          </w:p>
        </w:tc>
        <w:tc>
          <w:tcPr>
            <w:tcW w:w="1917" w:type="dxa"/>
            <w:gridSpan w:val="4"/>
            <w:tcBorders>
              <w:top w:val="single" w:color="000000" w:sz="4" w:space="0"/>
              <w:left w:val="single" w:color="000000" w:sz="4" w:space="0"/>
              <w:right w:val="single" w:color="000000" w:sz="4" w:space="0"/>
            </w:tcBorders>
          </w:tcPr>
          <w:p w14:paraId="090A7AA2">
            <w:pPr>
              <w:pStyle w:val="19"/>
              <w:spacing w:before="83"/>
              <w:ind w:left="116"/>
              <w:rPr>
                <w:rFonts w:hint="eastAsia" w:ascii="仿宋_GB2312" w:hAnsi="仿宋_GB2312" w:eastAsia="仿宋_GB2312" w:cs="仿宋_GB2312"/>
                <w:sz w:val="24"/>
              </w:rPr>
            </w:pPr>
            <w:r>
              <w:rPr>
                <w:rFonts w:hint="eastAsia" w:ascii="仿宋_GB2312" w:hAnsi="仿宋_GB2312" w:eastAsia="仿宋_GB2312" w:cs="仿宋_GB2312"/>
                <w:sz w:val="24"/>
              </w:rPr>
              <w:t>发布人员</w:t>
            </w:r>
          </w:p>
          <w:p w14:paraId="720F3E8A">
            <w:pPr>
              <w:pStyle w:val="19"/>
              <w:tabs>
                <w:tab w:val="left" w:pos="836"/>
              </w:tabs>
              <w:spacing w:before="160"/>
              <w:ind w:left="116"/>
              <w:rPr>
                <w:rFonts w:hint="eastAsia" w:ascii="仿宋_GB2312" w:hAnsi="仿宋_GB2312" w:eastAsia="仿宋_GB2312" w:cs="仿宋_GB2312"/>
                <w:sz w:val="24"/>
              </w:rPr>
            </w:pPr>
            <w:r>
              <w:rPr>
                <w:rFonts w:hint="eastAsia" w:ascii="仿宋_GB2312" w:hAnsi="仿宋_GB2312" w:eastAsia="仿宋_GB2312" w:cs="仿宋_GB2312"/>
                <w:sz w:val="24"/>
              </w:rPr>
              <w:t>签</w:t>
            </w:r>
            <w:r>
              <w:rPr>
                <w:rFonts w:hint="eastAsia" w:ascii="仿宋_GB2312" w:hAnsi="仿宋_GB2312" w:eastAsia="仿宋_GB2312" w:cs="仿宋_GB2312"/>
                <w:sz w:val="24"/>
              </w:rPr>
              <w:tab/>
            </w:r>
            <w:r>
              <w:rPr>
                <w:rFonts w:hint="eastAsia" w:ascii="仿宋_GB2312" w:hAnsi="仿宋_GB2312" w:eastAsia="仿宋_GB2312" w:cs="仿宋_GB2312"/>
                <w:sz w:val="24"/>
              </w:rPr>
              <w:t>名</w:t>
            </w:r>
          </w:p>
        </w:tc>
        <w:tc>
          <w:tcPr>
            <w:tcW w:w="2538" w:type="dxa"/>
            <w:gridSpan w:val="2"/>
            <w:tcBorders>
              <w:top w:val="single" w:color="000000" w:sz="4" w:space="0"/>
              <w:left w:val="single" w:color="000000" w:sz="4" w:space="0"/>
            </w:tcBorders>
          </w:tcPr>
          <w:p w14:paraId="4DDF1BFC">
            <w:pPr>
              <w:pStyle w:val="19"/>
              <w:rPr>
                <w:rFonts w:hint="eastAsia" w:ascii="仿宋_GB2312" w:hAnsi="仿宋_GB2312" w:eastAsia="仿宋_GB2312" w:cs="仿宋_GB2312"/>
                <w:sz w:val="24"/>
              </w:rPr>
            </w:pPr>
          </w:p>
        </w:tc>
      </w:tr>
    </w:tbl>
    <w:p w14:paraId="7E8373AB">
      <w:pPr>
        <w:rPr>
          <w:rFonts w:hint="eastAsia" w:ascii="Times New Roman"/>
          <w:sz w:val="24"/>
        </w:rPr>
        <w:sectPr>
          <w:footerReference r:id="rId6" w:type="default"/>
          <w:pgSz w:w="11910" w:h="16840"/>
          <w:pgMar w:top="1582" w:right="1338" w:bottom="1321" w:left="1480" w:header="720" w:footer="720" w:gutter="0"/>
          <w:pgNumType w:fmt="decimal" w:start="1"/>
          <w:cols w:space="0" w:num="1"/>
        </w:sectPr>
      </w:pPr>
    </w:p>
    <w:p w14:paraId="13F9732B">
      <w:pPr>
        <w:rPr>
          <w:rFonts w:hint="eastAsia"/>
          <w:sz w:val="21"/>
        </w:rPr>
      </w:pPr>
    </w:p>
    <w:sectPr>
      <w:type w:val="continuous"/>
      <w:pgSz w:w="11910" w:h="16840"/>
      <w:pgMar w:top="1580" w:right="960" w:bottom="280" w:left="1560" w:header="720" w:footer="720" w:gutter="0"/>
      <w:pgNumType w:fmt="decimal"/>
      <w:cols w:equalWidth="0" w:num="3">
        <w:col w:w="3002" w:space="67"/>
        <w:col w:w="2412" w:space="690"/>
        <w:col w:w="3219"/>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 w:date="2026-02-02T15:03:39Z" w:initials="">
    <w:p w14:paraId="2C09FEB8">
      <w:pPr>
        <w:pStyle w:val="5"/>
        <w:rPr>
          <w:rFonts w:hint="default" w:eastAsia="宋体"/>
          <w:lang w:val="en-US" w:eastAsia="zh-CN"/>
        </w:rPr>
      </w:pPr>
      <w:r>
        <w:rPr>
          <w:rFonts w:hint="eastAsia"/>
          <w:lang w:val="en-US" w:eastAsia="zh-CN"/>
        </w:rPr>
        <w:t>整个内容中为体现出实战演练的情况 如果保留这部分内容 建议在前面加上一两句和实战相关的内容，其他预案如果有和实战演练相关的 也需要统一添加</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C09FEB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6CE5B9-6A6B-4886-A6A3-74FA73BD0B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2" w:fontKey="{B42C3D61-4BC9-44C2-A16A-95B60AA47EA9}"/>
  </w:font>
  <w:font w:name="仿宋_GB2312">
    <w:panose1 w:val="02010609030101010101"/>
    <w:charset w:val="86"/>
    <w:family w:val="auto"/>
    <w:pitch w:val="default"/>
    <w:sig w:usb0="00000001" w:usb1="080E0000" w:usb2="00000000" w:usb3="00000000" w:csb0="00040000" w:csb1="00000000"/>
    <w:embedRegular r:id="rId3" w:fontKey="{924040D1-3BCB-4957-8EF8-865710202AB6}"/>
  </w:font>
  <w:font w:name="方正小标宋简体">
    <w:panose1 w:val="02010600010101010101"/>
    <w:charset w:val="86"/>
    <w:family w:val="auto"/>
    <w:pitch w:val="default"/>
    <w:sig w:usb0="00000001" w:usb1="080E0000" w:usb2="00000000" w:usb3="00000000" w:csb0="00040000" w:csb1="00000000"/>
    <w:embedRegular r:id="rId4" w:fontKey="{94F6B966-6006-4E45-8B0B-30DAEF186FDB}"/>
  </w:font>
  <w:font w:name="仿宋">
    <w:panose1 w:val="02010609060101010101"/>
    <w:charset w:val="86"/>
    <w:family w:val="auto"/>
    <w:pitch w:val="default"/>
    <w:sig w:usb0="800002BF" w:usb1="38CF7CFA" w:usb2="00000016" w:usb3="00000000" w:csb0="00040001" w:csb1="00000000"/>
    <w:embedRegular r:id="rId5" w:fontKey="{32638F97-97E5-4456-9F30-4BA046E66C66}"/>
  </w:font>
  <w:font w:name="楷体_GB2312">
    <w:panose1 w:val="02010609030101010101"/>
    <w:charset w:val="86"/>
    <w:family w:val="auto"/>
    <w:pitch w:val="default"/>
    <w:sig w:usb0="00000001" w:usb1="080E0000" w:usb2="00000000" w:usb3="00000000" w:csb0="00040000" w:csb1="00000000"/>
    <w:embedRegular r:id="rId6" w:fontKey="{6A4D63E9-1BC5-4D58-96EE-9F0FB11AC037}"/>
  </w:font>
  <w:font w:name="微软雅黑">
    <w:panose1 w:val="020B0503020204020204"/>
    <w:charset w:val="86"/>
    <w:family w:val="auto"/>
    <w:pitch w:val="default"/>
    <w:sig w:usb0="80000287" w:usb1="2ACF3C50" w:usb2="00000016" w:usb3="00000000" w:csb0="0004001F"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DD0AC">
    <w:pPr>
      <w:pStyle w:val="8"/>
      <w:tabs>
        <w:tab w:val="center" w:pos="4546"/>
        <w:tab w:val="clear" w:pos="4153"/>
      </w:tabs>
      <w:rPr>
        <w:rFonts w:hint="eastAsia"/>
      </w:rPr>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AA655">
    <w:pPr>
      <w:pStyle w:val="8"/>
      <w:tabs>
        <w:tab w:val="center" w:pos="4546"/>
        <w:tab w:val="clear" w:pos="4153"/>
      </w:tabs>
      <w:rPr>
        <w:rFonts w:hint="eastAsia"/>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-148590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DADC1">
                          <w:pPr>
                            <w:pStyle w:val="8"/>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1.7pt;height:144pt;width:144pt;mso-position-horizontal:right;mso-position-horizontal-relative:margin;mso-wrap-style:none;z-index:251661312;mso-width-relative:page;mso-height-relative:page;" filled="f" stroked="f" coordsize="21600,21600" o:gfxdata="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8cdXs1gAAAAgBAAAPAAAAAAAAAAEAIAAAACIAAABkcnMvZG93bnJldi54bWxQSwECFAAU&#10;AAAACACHTuJAg0tNAywCAABXBAAADgAAAAAAAAABACAAAAAlAQAAZHJzL2Uyb0RvYy54bWxQSwUG&#10;AAAAAAYABgBZAQAAwwUAAAAA&#10;">
              <v:fill on="f" focussize="0,0"/>
              <v:stroke on="f" weight="0.5pt"/>
              <v:imagedata o:title=""/>
              <o:lock v:ext="edit" aspectratio="f"/>
              <v:textbox inset="0mm,0mm,0mm,0mm" style="mso-fit-shape-to-text:t;">
                <w:txbxContent>
                  <w:p w14:paraId="396DADC1">
                    <w:pPr>
                      <w:pStyle w:val="8"/>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r>
                      <w:rPr>
                        <w:rFonts w:hint="eastAsia"/>
                        <w:sz w:val="28"/>
                        <w:szCs w:val="28"/>
                      </w:rPr>
                      <w:t xml:space="preserve"> —</w:t>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CBBCF0"/>
    <w:multiLevelType w:val="multilevel"/>
    <w:tmpl w:val="1BCBBCF0"/>
    <w:lvl w:ilvl="0" w:tentative="0">
      <w:start w:val="0"/>
      <w:numFmt w:val="bullet"/>
      <w:lvlText w:val="□"/>
      <w:lvlJc w:val="left"/>
      <w:pPr>
        <w:ind w:left="2658" w:hanging="872"/>
      </w:pPr>
      <w:rPr>
        <w:rFonts w:hint="default" w:ascii="宋体" w:hAnsi="宋体" w:eastAsia="宋体" w:cs="宋体"/>
        <w:w w:val="100"/>
        <w:sz w:val="24"/>
        <w:szCs w:val="24"/>
        <w:lang w:val="zh-CN" w:eastAsia="zh-CN" w:bidi="zh-CN"/>
      </w:rPr>
    </w:lvl>
    <w:lvl w:ilvl="1" w:tentative="0">
      <w:start w:val="0"/>
      <w:numFmt w:val="bullet"/>
      <w:lvlText w:val="•"/>
      <w:lvlJc w:val="left"/>
      <w:pPr>
        <w:ind w:left="3302" w:hanging="872"/>
      </w:pPr>
      <w:rPr>
        <w:rFonts w:hint="default"/>
        <w:lang w:val="zh-CN" w:eastAsia="zh-CN" w:bidi="zh-CN"/>
      </w:rPr>
    </w:lvl>
    <w:lvl w:ilvl="2" w:tentative="0">
      <w:start w:val="0"/>
      <w:numFmt w:val="bullet"/>
      <w:lvlText w:val="•"/>
      <w:lvlJc w:val="left"/>
      <w:pPr>
        <w:ind w:left="3944" w:hanging="872"/>
      </w:pPr>
      <w:rPr>
        <w:rFonts w:hint="default"/>
        <w:lang w:val="zh-CN" w:eastAsia="zh-CN" w:bidi="zh-CN"/>
      </w:rPr>
    </w:lvl>
    <w:lvl w:ilvl="3" w:tentative="0">
      <w:start w:val="0"/>
      <w:numFmt w:val="bullet"/>
      <w:lvlText w:val="•"/>
      <w:lvlJc w:val="left"/>
      <w:pPr>
        <w:ind w:left="4586" w:hanging="872"/>
      </w:pPr>
      <w:rPr>
        <w:rFonts w:hint="default"/>
        <w:lang w:val="zh-CN" w:eastAsia="zh-CN" w:bidi="zh-CN"/>
      </w:rPr>
    </w:lvl>
    <w:lvl w:ilvl="4" w:tentative="0">
      <w:start w:val="0"/>
      <w:numFmt w:val="bullet"/>
      <w:lvlText w:val="•"/>
      <w:lvlJc w:val="left"/>
      <w:pPr>
        <w:ind w:left="5228" w:hanging="872"/>
      </w:pPr>
      <w:rPr>
        <w:rFonts w:hint="default"/>
        <w:lang w:val="zh-CN" w:eastAsia="zh-CN" w:bidi="zh-CN"/>
      </w:rPr>
    </w:lvl>
    <w:lvl w:ilvl="5" w:tentative="0">
      <w:start w:val="0"/>
      <w:numFmt w:val="bullet"/>
      <w:lvlText w:val="•"/>
      <w:lvlJc w:val="left"/>
      <w:pPr>
        <w:ind w:left="5870" w:hanging="872"/>
      </w:pPr>
      <w:rPr>
        <w:rFonts w:hint="default"/>
        <w:lang w:val="zh-CN" w:eastAsia="zh-CN" w:bidi="zh-CN"/>
      </w:rPr>
    </w:lvl>
    <w:lvl w:ilvl="6" w:tentative="0">
      <w:start w:val="0"/>
      <w:numFmt w:val="bullet"/>
      <w:lvlText w:val="•"/>
      <w:lvlJc w:val="left"/>
      <w:pPr>
        <w:ind w:left="6512" w:hanging="872"/>
      </w:pPr>
      <w:rPr>
        <w:rFonts w:hint="default"/>
        <w:lang w:val="zh-CN" w:eastAsia="zh-CN" w:bidi="zh-CN"/>
      </w:rPr>
    </w:lvl>
    <w:lvl w:ilvl="7" w:tentative="0">
      <w:start w:val="0"/>
      <w:numFmt w:val="bullet"/>
      <w:lvlText w:val="•"/>
      <w:lvlJc w:val="left"/>
      <w:pPr>
        <w:ind w:left="7154" w:hanging="872"/>
      </w:pPr>
      <w:rPr>
        <w:rFonts w:hint="default"/>
        <w:lang w:val="zh-CN" w:eastAsia="zh-CN" w:bidi="zh-CN"/>
      </w:rPr>
    </w:lvl>
    <w:lvl w:ilvl="8" w:tentative="0">
      <w:start w:val="0"/>
      <w:numFmt w:val="bullet"/>
      <w:lvlText w:val="•"/>
      <w:lvlJc w:val="left"/>
      <w:pPr>
        <w:ind w:left="7796" w:hanging="872"/>
      </w:pPr>
      <w:rPr>
        <w:rFonts w:hint="default"/>
        <w:lang w:val="zh-CN" w:eastAsia="zh-CN" w:bidi="zh-C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
    <w15:presenceInfo w15:providerId="WPS Office" w15:userId="2091800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ZTM1MDFjMzExNDU2NzczODQ3N2YzYWY2MmYxMWEifQ=="/>
  </w:docVars>
  <w:rsids>
    <w:rsidRoot w:val="00D35FA8"/>
    <w:rsid w:val="002337AB"/>
    <w:rsid w:val="002D269B"/>
    <w:rsid w:val="005E73F3"/>
    <w:rsid w:val="00662EB7"/>
    <w:rsid w:val="00A813EF"/>
    <w:rsid w:val="00AC5145"/>
    <w:rsid w:val="00B46919"/>
    <w:rsid w:val="00B666A2"/>
    <w:rsid w:val="00B93039"/>
    <w:rsid w:val="00C607DF"/>
    <w:rsid w:val="00C94977"/>
    <w:rsid w:val="00D17469"/>
    <w:rsid w:val="00D35FA8"/>
    <w:rsid w:val="00E333EB"/>
    <w:rsid w:val="00EC31DC"/>
    <w:rsid w:val="02E903CF"/>
    <w:rsid w:val="03251029"/>
    <w:rsid w:val="038D7A32"/>
    <w:rsid w:val="040B4CCB"/>
    <w:rsid w:val="05AE1117"/>
    <w:rsid w:val="0666105E"/>
    <w:rsid w:val="06B75171"/>
    <w:rsid w:val="07610E7C"/>
    <w:rsid w:val="07D8521D"/>
    <w:rsid w:val="081A7FC6"/>
    <w:rsid w:val="08A76D63"/>
    <w:rsid w:val="08B46562"/>
    <w:rsid w:val="09414AC1"/>
    <w:rsid w:val="09D84623"/>
    <w:rsid w:val="09E36657"/>
    <w:rsid w:val="0A917CCA"/>
    <w:rsid w:val="0B2D59C8"/>
    <w:rsid w:val="0CB91C77"/>
    <w:rsid w:val="0D9E00EC"/>
    <w:rsid w:val="0DCE1F23"/>
    <w:rsid w:val="0EA85B9E"/>
    <w:rsid w:val="0F56204A"/>
    <w:rsid w:val="0F976E2E"/>
    <w:rsid w:val="0FC3539C"/>
    <w:rsid w:val="0FD146C5"/>
    <w:rsid w:val="10145B75"/>
    <w:rsid w:val="11D25650"/>
    <w:rsid w:val="120C5500"/>
    <w:rsid w:val="124E7288"/>
    <w:rsid w:val="125C03AD"/>
    <w:rsid w:val="12C329EB"/>
    <w:rsid w:val="12FB57BF"/>
    <w:rsid w:val="13053004"/>
    <w:rsid w:val="131169A6"/>
    <w:rsid w:val="139B5716"/>
    <w:rsid w:val="14302302"/>
    <w:rsid w:val="14841D8E"/>
    <w:rsid w:val="165B7DDA"/>
    <w:rsid w:val="167B45E0"/>
    <w:rsid w:val="17AD0AC8"/>
    <w:rsid w:val="17B1375A"/>
    <w:rsid w:val="18463EA2"/>
    <w:rsid w:val="18A00432"/>
    <w:rsid w:val="19087540"/>
    <w:rsid w:val="1A8B0292"/>
    <w:rsid w:val="1A8E38DF"/>
    <w:rsid w:val="1B0D0CA7"/>
    <w:rsid w:val="1B2E36A9"/>
    <w:rsid w:val="1C1656C3"/>
    <w:rsid w:val="1CFC5A46"/>
    <w:rsid w:val="1DA578BD"/>
    <w:rsid w:val="1DBE1ADB"/>
    <w:rsid w:val="208E4638"/>
    <w:rsid w:val="20F16975"/>
    <w:rsid w:val="210448FA"/>
    <w:rsid w:val="211865F8"/>
    <w:rsid w:val="21636AD8"/>
    <w:rsid w:val="21DC4F15"/>
    <w:rsid w:val="22C83F56"/>
    <w:rsid w:val="23293F27"/>
    <w:rsid w:val="23FE6F33"/>
    <w:rsid w:val="24181B25"/>
    <w:rsid w:val="25543D35"/>
    <w:rsid w:val="25695674"/>
    <w:rsid w:val="26DD00C8"/>
    <w:rsid w:val="275022D0"/>
    <w:rsid w:val="27B20074"/>
    <w:rsid w:val="27CE62E8"/>
    <w:rsid w:val="287C0AD6"/>
    <w:rsid w:val="28C037FD"/>
    <w:rsid w:val="291B0A33"/>
    <w:rsid w:val="2997066B"/>
    <w:rsid w:val="29977B6E"/>
    <w:rsid w:val="2A241B69"/>
    <w:rsid w:val="2C7361A2"/>
    <w:rsid w:val="2D67693D"/>
    <w:rsid w:val="2E6E5700"/>
    <w:rsid w:val="2FA221BA"/>
    <w:rsid w:val="2FF63FA8"/>
    <w:rsid w:val="304A60A2"/>
    <w:rsid w:val="306B6744"/>
    <w:rsid w:val="313C3C3D"/>
    <w:rsid w:val="31C55C1D"/>
    <w:rsid w:val="323D205C"/>
    <w:rsid w:val="3317670F"/>
    <w:rsid w:val="33721B98"/>
    <w:rsid w:val="33CD6DCE"/>
    <w:rsid w:val="34A80469"/>
    <w:rsid w:val="34F82570"/>
    <w:rsid w:val="357F67EE"/>
    <w:rsid w:val="35BA7B75"/>
    <w:rsid w:val="36421CF5"/>
    <w:rsid w:val="37156A90"/>
    <w:rsid w:val="3824052A"/>
    <w:rsid w:val="3938118D"/>
    <w:rsid w:val="3A8A77C7"/>
    <w:rsid w:val="3B215843"/>
    <w:rsid w:val="3BD31641"/>
    <w:rsid w:val="3CA65F73"/>
    <w:rsid w:val="3D6C59AE"/>
    <w:rsid w:val="4007741B"/>
    <w:rsid w:val="411E210C"/>
    <w:rsid w:val="41552026"/>
    <w:rsid w:val="41A924CD"/>
    <w:rsid w:val="423B759C"/>
    <w:rsid w:val="428C078E"/>
    <w:rsid w:val="430343A0"/>
    <w:rsid w:val="43496A2C"/>
    <w:rsid w:val="43D877F5"/>
    <w:rsid w:val="46386C71"/>
    <w:rsid w:val="46623CEE"/>
    <w:rsid w:val="470D5A07"/>
    <w:rsid w:val="477D6914"/>
    <w:rsid w:val="47B61896"/>
    <w:rsid w:val="47C012A3"/>
    <w:rsid w:val="488639D8"/>
    <w:rsid w:val="48E9502A"/>
    <w:rsid w:val="49E71343"/>
    <w:rsid w:val="4A6873F9"/>
    <w:rsid w:val="4A71048C"/>
    <w:rsid w:val="4B571947"/>
    <w:rsid w:val="4C2D26A8"/>
    <w:rsid w:val="4C5D38A6"/>
    <w:rsid w:val="4EAE4DA6"/>
    <w:rsid w:val="4ECA5EE6"/>
    <w:rsid w:val="508C1DCB"/>
    <w:rsid w:val="51363DAD"/>
    <w:rsid w:val="51C062A3"/>
    <w:rsid w:val="51C67AB0"/>
    <w:rsid w:val="523A43D0"/>
    <w:rsid w:val="52847D80"/>
    <w:rsid w:val="536A2433"/>
    <w:rsid w:val="542E4633"/>
    <w:rsid w:val="55396D03"/>
    <w:rsid w:val="55A47409"/>
    <w:rsid w:val="55CF657E"/>
    <w:rsid w:val="596A4F3B"/>
    <w:rsid w:val="5ABA133E"/>
    <w:rsid w:val="5C904CB9"/>
    <w:rsid w:val="5D3F048D"/>
    <w:rsid w:val="5D9635E1"/>
    <w:rsid w:val="5DF9063C"/>
    <w:rsid w:val="5E046F65"/>
    <w:rsid w:val="5FD664CD"/>
    <w:rsid w:val="600357A2"/>
    <w:rsid w:val="60410642"/>
    <w:rsid w:val="604B4220"/>
    <w:rsid w:val="611E6C9E"/>
    <w:rsid w:val="61573FF7"/>
    <w:rsid w:val="61DE36C0"/>
    <w:rsid w:val="62A56FE4"/>
    <w:rsid w:val="62D35345"/>
    <w:rsid w:val="63065CD5"/>
    <w:rsid w:val="63833090"/>
    <w:rsid w:val="645962D8"/>
    <w:rsid w:val="646627A3"/>
    <w:rsid w:val="66FD73EF"/>
    <w:rsid w:val="68A04E41"/>
    <w:rsid w:val="69EE352A"/>
    <w:rsid w:val="6A52681F"/>
    <w:rsid w:val="6A7214AF"/>
    <w:rsid w:val="6B826325"/>
    <w:rsid w:val="6BD13CFB"/>
    <w:rsid w:val="6C6067B9"/>
    <w:rsid w:val="6CC14950"/>
    <w:rsid w:val="71781005"/>
    <w:rsid w:val="71CD3E62"/>
    <w:rsid w:val="72356ABA"/>
    <w:rsid w:val="725143E4"/>
    <w:rsid w:val="72AF1F00"/>
    <w:rsid w:val="72D059B7"/>
    <w:rsid w:val="72E14DDC"/>
    <w:rsid w:val="73375404"/>
    <w:rsid w:val="736D1458"/>
    <w:rsid w:val="738549F4"/>
    <w:rsid w:val="73F92CEC"/>
    <w:rsid w:val="74961FE3"/>
    <w:rsid w:val="757A3DA1"/>
    <w:rsid w:val="75DE663D"/>
    <w:rsid w:val="77866F8C"/>
    <w:rsid w:val="77D62D28"/>
    <w:rsid w:val="77EA78C1"/>
    <w:rsid w:val="784158A6"/>
    <w:rsid w:val="78482494"/>
    <w:rsid w:val="79250C53"/>
    <w:rsid w:val="79B261A2"/>
    <w:rsid w:val="7A2A00A3"/>
    <w:rsid w:val="7B05466C"/>
    <w:rsid w:val="7B8844B6"/>
    <w:rsid w:val="7BC71922"/>
    <w:rsid w:val="7C122B9D"/>
    <w:rsid w:val="7D0D6D0F"/>
    <w:rsid w:val="7D3D633F"/>
    <w:rsid w:val="7D767BD1"/>
    <w:rsid w:val="7D79061B"/>
    <w:rsid w:val="7D97521F"/>
    <w:rsid w:val="7DC36911"/>
    <w:rsid w:val="7EC74D50"/>
    <w:rsid w:val="7F567244"/>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20"/>
    <w:qFormat/>
    <w:uiPriority w:val="1"/>
    <w:pPr>
      <w:spacing w:line="560" w:lineRule="exact"/>
      <w:ind w:left="238"/>
      <w:outlineLvl w:val="0"/>
    </w:pPr>
    <w:rPr>
      <w:rFonts w:eastAsia="黑体"/>
      <w:bCs/>
      <w:sz w:val="32"/>
      <w:szCs w:val="36"/>
    </w:rPr>
  </w:style>
  <w:style w:type="paragraph" w:styleId="3">
    <w:name w:val="heading 2"/>
    <w:basedOn w:val="1"/>
    <w:next w:val="1"/>
    <w:link w:val="21"/>
    <w:qFormat/>
    <w:uiPriority w:val="1"/>
    <w:pPr>
      <w:spacing w:line="560" w:lineRule="exact"/>
      <w:ind w:left="238"/>
      <w:outlineLvl w:val="1"/>
    </w:pPr>
    <w:rPr>
      <w:rFonts w:eastAsia="楷体"/>
      <w:b/>
      <w:bCs/>
      <w:sz w:val="32"/>
      <w:szCs w:val="28"/>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link w:val="26"/>
    <w:qFormat/>
    <w:uiPriority w:val="1"/>
    <w:pPr>
      <w:spacing w:line="560" w:lineRule="exact"/>
      <w:ind w:firstLine="400" w:firstLineChars="200"/>
      <w:jc w:val="both"/>
    </w:pPr>
    <w:rPr>
      <w:rFonts w:eastAsia="仿宋_GB2312"/>
      <w:sz w:val="32"/>
      <w:szCs w:val="28"/>
    </w:rPr>
  </w:style>
  <w:style w:type="paragraph" w:styleId="7">
    <w:name w:val="toc 3"/>
    <w:basedOn w:val="1"/>
    <w:next w:val="1"/>
    <w:link w:val="25"/>
    <w:qFormat/>
    <w:uiPriority w:val="1"/>
    <w:pPr>
      <w:spacing w:before="43"/>
      <w:ind w:left="660"/>
    </w:pPr>
    <w:rPr>
      <w:sz w:val="21"/>
      <w:szCs w:val="21"/>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toc 1"/>
    <w:basedOn w:val="1"/>
    <w:next w:val="1"/>
    <w:qFormat/>
    <w:uiPriority w:val="1"/>
    <w:pPr>
      <w:spacing w:before="155"/>
      <w:ind w:right="596"/>
      <w:jc w:val="center"/>
    </w:pPr>
    <w:rPr>
      <w:sz w:val="28"/>
      <w:szCs w:val="28"/>
    </w:rPr>
  </w:style>
  <w:style w:type="paragraph" w:styleId="11">
    <w:name w:val="toc 4"/>
    <w:basedOn w:val="1"/>
    <w:next w:val="1"/>
    <w:qFormat/>
    <w:uiPriority w:val="1"/>
    <w:pPr>
      <w:spacing w:before="43"/>
      <w:ind w:left="660"/>
    </w:pPr>
    <w:rPr>
      <w:b/>
      <w:bCs/>
      <w:i/>
    </w:rPr>
  </w:style>
  <w:style w:type="paragraph" w:styleId="12">
    <w:name w:val="toc 2"/>
    <w:basedOn w:val="1"/>
    <w:next w:val="1"/>
    <w:qFormat/>
    <w:uiPriority w:val="1"/>
    <w:pPr>
      <w:spacing w:before="156"/>
      <w:ind w:left="244"/>
    </w:pPr>
    <w:rPr>
      <w:sz w:val="28"/>
      <w:szCs w:val="28"/>
    </w:rPr>
  </w:style>
  <w:style w:type="paragraph" w:styleId="13">
    <w:name w:val="Normal (Web)"/>
    <w:basedOn w:val="1"/>
    <w:qFormat/>
    <w:uiPriority w:val="0"/>
    <w:rPr>
      <w:sz w:val="24"/>
    </w:rPr>
  </w:style>
  <w:style w:type="character" w:styleId="16">
    <w:name w:val="Strong"/>
    <w:basedOn w:val="15"/>
    <w:qFormat/>
    <w:uiPriority w:val="0"/>
    <w:rPr>
      <w:b/>
    </w:r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pPr>
      <w:ind w:left="660" w:hanging="420"/>
    </w:pPr>
  </w:style>
  <w:style w:type="paragraph" w:customStyle="1" w:styleId="19">
    <w:name w:val="Table Paragraph"/>
    <w:basedOn w:val="1"/>
    <w:qFormat/>
    <w:uiPriority w:val="1"/>
  </w:style>
  <w:style w:type="character" w:customStyle="1" w:styleId="20">
    <w:name w:val="标题 1 字符"/>
    <w:link w:val="2"/>
    <w:qFormat/>
    <w:uiPriority w:val="1"/>
    <w:rPr>
      <w:rFonts w:eastAsia="黑体"/>
      <w:bCs/>
      <w:sz w:val="32"/>
      <w:szCs w:val="36"/>
    </w:rPr>
  </w:style>
  <w:style w:type="character" w:customStyle="1" w:styleId="21">
    <w:name w:val="标题 2 字符"/>
    <w:link w:val="3"/>
    <w:qFormat/>
    <w:uiPriority w:val="1"/>
    <w:rPr>
      <w:rFonts w:eastAsia="楷体"/>
      <w:b/>
      <w:bCs/>
      <w:sz w:val="32"/>
      <w:szCs w:val="28"/>
    </w:rPr>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customStyle="1" w:styleId="2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4">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25">
    <w:name w:val="TOC 3 字符"/>
    <w:link w:val="7"/>
    <w:qFormat/>
    <w:uiPriority w:val="1"/>
    <w:rPr>
      <w:rFonts w:ascii="宋体" w:hAnsi="宋体" w:eastAsia="宋体" w:cs="宋体"/>
      <w:sz w:val="21"/>
      <w:szCs w:val="21"/>
      <w:lang w:val="zh-CN" w:eastAsia="zh-CN" w:bidi="zh-CN"/>
    </w:rPr>
  </w:style>
  <w:style w:type="character" w:customStyle="1" w:styleId="26">
    <w:name w:val="正文文本 字符"/>
    <w:link w:val="6"/>
    <w:qFormat/>
    <w:uiPriority w:val="1"/>
    <w:rPr>
      <w:rFonts w:eastAsia="仿宋_GB2312"/>
      <w:sz w:val="32"/>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8e5bc19b-88a3-469b-9385-7fc49b82de9f</errorID>
      <errorWord>挥</errorWord>
      <group>L1_Word</group>
      <groupName>字词问题</groupName>
      <ability>L2_Typo</ability>
      <abilityName>字词错误</abilityName>
      <candidateList>
        <item>挥和</item>
      </candidateList>
      <explain/>
      <paraID>37DE324F</paraID>
      <start>39</start>
      <end>40</end>
      <status>unmodified</status>
      <modifiedWord/>
      <trackRevisions>false</trackRevisions>
    </reviewItem>
    <reviewItem>
      <errorID>14c48939-833b-42dc-a731-6b4d12e674eb</errorID>
      <errorWord>；</errorWord>
      <group>L1_Word</group>
      <groupName>字词问题</groupName>
      <ability>L2_Typo</ability>
      <abilityName>字词错误</abilityName>
      <candidateList>
        <item>；在</item>
      </candidateList>
      <explain/>
      <paraID>2A225FF6</paraID>
      <start>38</start>
      <end>39</end>
      <status>unmodified</status>
      <modifiedWord/>
      <trackRevisions>false</trackRevisions>
    </reviewItem>
    <reviewItem>
      <errorID>b196d2c2-2dcc-4916-b99c-c2bf3508f492</errorID>
      <errorWord>事态有</errorWord>
      <group>L1_Word</group>
      <groupName>字词问题</groupName>
      <ability>L2_Typo</ability>
      <abilityName>字词错误</abilityName>
      <candidateList>
        <item>事态</item>
      </candidateList>
      <explain/>
      <paraID>4871D01B</paraID>
      <start>42</start>
      <end>45</end>
      <status>unmodified</status>
      <modifiedWord/>
      <trackRevisions>false</trackRevisions>
    </reviewItem>
    <reviewItem>
      <errorID>77a63a92-b0ad-4a57-89f8-0d5810c50ea4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460CC1E</paraID>
      <start>60</start>
      <end>61</end>
      <status>unmodified</status>
      <modifiedWord/>
      <trackRevisions>false</trackRevisions>
    </reviewItem>
    <reviewItem>
      <errorID>b43c060f-9266-43ce-93c3-917ebf4a9b86</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73109BE7</paraID>
      <start>48</start>
      <end>51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1119e8-2b58-4d93-b942-91d9a9cd53ea}">
  <ds:schemaRefs/>
</ds:datastoreItem>
</file>

<file path=docProps/app.xml><?xml version="1.0" encoding="utf-8"?>
<Properties xmlns="http://schemas.openxmlformats.org/officeDocument/2006/extended-properties" xmlns:vt="http://schemas.openxmlformats.org/officeDocument/2006/docPropsVTypes">
  <Template>Normal</Template>
  <Pages>31</Pages>
  <Words>12868</Words>
  <Characters>13048</Characters>
  <Lines>491</Lines>
  <Paragraphs>413</Paragraphs>
  <TotalTime>5</TotalTime>
  <ScaleCrop>false</ScaleCrop>
  <LinksUpToDate>false</LinksUpToDate>
  <CharactersWithSpaces>13376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2025-09-17T02:38:00Z</dcterms:created>
  <dc:creator>Microsoft</dc:creator>
  <cp:lastModifiedBy>A</cp:lastModifiedBy>
  <cp:lastPrinted>2025-10-09T06:03:00Z</cp:lastPrinted>
  <dcterms:modified xsi:type="dcterms:W3CDTF">2026-02-02T07:05:57Z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Creator">
    <vt:lpwstr>WPS 文字</vt:lpwstr>
  </property>
  <property fmtid="{D5CDD505-2E9C-101B-9397-08002B2CF9AE}" pid="4" name="LastSaved">
    <vt:filetime>2025-09-17T00:00:00Z</vt:filetime>
  </property>
  <property fmtid="{D5CDD505-2E9C-101B-9397-08002B2CF9AE}" pid="5" name="KSOProductBuildVer">
    <vt:lpwstr>2052-12.1.0.24657</vt:lpwstr>
  </property>
  <property fmtid="{D5CDD505-2E9C-101B-9397-08002B2CF9AE}" pid="6" name="ICV">
    <vt:lpwstr>0ED58B76BC1544869F148501ACC3189E_13</vt:lpwstr>
  </property>
  <property fmtid="{D5CDD505-2E9C-101B-9397-08002B2CF9AE}" pid="7" name="KSOTemplateDocerSaveRecord">
    <vt:lpwstr>eyJoZGlkIjoiMGQ0ODlkZjk1YWVhMmM1YjE4NTliNDE5NmJiMTdmNGMiLCJ1c2VySWQiOiIyNTc2OTIxMzcifQ==</vt:lpwstr>
  </property>
</Properties>
</file>