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5BD32">
      <w:pPr>
        <w:pStyle w:val="5"/>
        <w:spacing w:before="253" w:line="219" w:lineRule="auto"/>
        <w:ind w:left="2771" w:firstLine="869"/>
        <w:rPr>
          <w:rFonts w:cs="Times New Roman"/>
          <w:b/>
          <w:bCs/>
          <w:spacing w:val="13"/>
          <w:sz w:val="42"/>
          <w:szCs w:val="42"/>
          <w:lang w:eastAsia="zh-CN"/>
        </w:rPr>
      </w:pPr>
    </w:p>
    <w:p w14:paraId="7F07EAF8">
      <w:pPr>
        <w:pStyle w:val="5"/>
        <w:spacing w:before="253" w:line="219" w:lineRule="auto"/>
        <w:ind w:left="2771" w:firstLine="869"/>
        <w:rPr>
          <w:rFonts w:cs="Times New Roman"/>
          <w:b/>
          <w:bCs/>
          <w:spacing w:val="13"/>
          <w:sz w:val="42"/>
          <w:szCs w:val="42"/>
          <w:lang w:eastAsia="zh-CN"/>
        </w:rPr>
      </w:pPr>
    </w:p>
    <w:p w14:paraId="6DCE3B0E">
      <w:pPr>
        <w:pStyle w:val="5"/>
        <w:spacing w:before="253" w:line="219" w:lineRule="auto"/>
        <w:ind w:left="2771" w:firstLine="869"/>
        <w:rPr>
          <w:rFonts w:cs="Times New Roman"/>
          <w:b/>
          <w:bCs/>
          <w:spacing w:val="13"/>
          <w:sz w:val="42"/>
          <w:szCs w:val="42"/>
          <w:lang w:eastAsia="zh-CN"/>
        </w:rPr>
      </w:pPr>
    </w:p>
    <w:p w14:paraId="1BBC77CE">
      <w:pPr>
        <w:pStyle w:val="5"/>
        <w:spacing w:before="253" w:line="219" w:lineRule="auto"/>
        <w:ind w:firstLine="1070"/>
        <w:jc w:val="center"/>
        <w:rPr>
          <w:rFonts w:cs="Times New Roman"/>
          <w:b/>
          <w:bCs/>
          <w:spacing w:val="13"/>
          <w:sz w:val="52"/>
          <w:szCs w:val="52"/>
          <w:lang w:eastAsia="zh-CN"/>
        </w:rPr>
      </w:pPr>
    </w:p>
    <w:p w14:paraId="284CED15">
      <w:pPr>
        <w:pStyle w:val="5"/>
        <w:spacing w:before="253" w:line="219" w:lineRule="auto"/>
        <w:ind w:firstLine="1070"/>
        <w:jc w:val="center"/>
        <w:rPr>
          <w:rFonts w:cs="Times New Roman"/>
          <w:b/>
          <w:bCs/>
          <w:spacing w:val="13"/>
          <w:sz w:val="52"/>
          <w:szCs w:val="52"/>
          <w:lang w:eastAsia="zh-CN"/>
        </w:rPr>
      </w:pPr>
    </w:p>
    <w:p w14:paraId="2A3010E7">
      <w:pPr>
        <w:pStyle w:val="5"/>
        <w:spacing w:before="253" w:line="219" w:lineRule="auto"/>
        <w:ind w:firstLine="1070"/>
        <w:jc w:val="center"/>
        <w:rPr>
          <w:rFonts w:cs="Times New Roman"/>
          <w:b/>
          <w:bCs/>
          <w:spacing w:val="13"/>
          <w:sz w:val="52"/>
          <w:szCs w:val="52"/>
          <w:lang w:eastAsia="zh-CN"/>
        </w:rPr>
      </w:pPr>
    </w:p>
    <w:p w14:paraId="11053255">
      <w:pPr>
        <w:pStyle w:val="5"/>
        <w:spacing w:before="253" w:line="219" w:lineRule="auto"/>
        <w:ind w:firstLine="1070"/>
        <w:jc w:val="center"/>
        <w:rPr>
          <w:rFonts w:cs="Times New Roman"/>
          <w:b/>
          <w:bCs/>
          <w:spacing w:val="13"/>
          <w:sz w:val="56"/>
          <w:szCs w:val="56"/>
          <w:lang w:eastAsia="zh-CN"/>
        </w:rPr>
      </w:pPr>
    </w:p>
    <w:p w14:paraId="0F689424">
      <w:pPr>
        <w:keepNext w:val="0"/>
        <w:keepLines w:val="0"/>
        <w:pageBreakBefore w:val="0"/>
        <w:widowControl/>
        <w:kinsoku w:val="0"/>
        <w:wordWrap/>
        <w:overflowPunct/>
        <w:topLinePunct w:val="0"/>
        <w:autoSpaceDE w:val="0"/>
        <w:autoSpaceDN w:val="0"/>
        <w:bidi w:val="0"/>
        <w:adjustRightInd w:val="0"/>
        <w:snapToGrid w:val="0"/>
        <w:spacing w:before="140" w:line="240" w:lineRule="auto"/>
        <w:ind w:firstLine="0" w:firstLineChars="0"/>
        <w:jc w:val="center"/>
        <w:textAlignment w:val="baseline"/>
        <w:rPr>
          <w:rFonts w:hint="eastAsia" w:ascii="方正小标宋简体" w:hAnsi="方正小标宋简体" w:eastAsia="方正小标宋简体" w:cs="方正小标宋简体"/>
          <w:b w:val="0"/>
          <w:bCs w:val="0"/>
          <w:snapToGrid w:val="0"/>
          <w:color w:val="000000"/>
          <w:spacing w:val="4"/>
          <w:kern w:val="0"/>
          <w:sz w:val="44"/>
          <w:szCs w:val="44"/>
          <w:lang w:val="zh-CN" w:eastAsia="zh-CN" w:bidi="ar-SA"/>
        </w:rPr>
      </w:pPr>
      <w:bookmarkStart w:id="0" w:name="_Toc1841"/>
      <w:bookmarkStart w:id="1" w:name="_Toc2325"/>
      <w:bookmarkStart w:id="2" w:name="_Toc5385"/>
      <w:bookmarkStart w:id="3" w:name="_Toc21267"/>
      <w:bookmarkStart w:id="4" w:name="_Toc7583"/>
      <w:bookmarkStart w:id="5" w:name="_Toc17109"/>
      <w:bookmarkStart w:id="6" w:name="_Toc20462"/>
      <w:r>
        <w:rPr>
          <w:rFonts w:hint="eastAsia" w:ascii="方正小标宋简体" w:hAnsi="方正小标宋简体" w:eastAsia="方正小标宋简体" w:cs="方正小标宋简体"/>
          <w:b w:val="0"/>
          <w:bCs w:val="0"/>
          <w:snapToGrid w:val="0"/>
          <w:color w:val="000000"/>
          <w:spacing w:val="4"/>
          <w:kern w:val="0"/>
          <w:sz w:val="44"/>
          <w:szCs w:val="44"/>
          <w:lang w:val="zh-CN" w:eastAsia="zh-CN" w:bidi="ar-SA"/>
        </w:rPr>
        <w:t>佳木斯市向阳区</w:t>
      </w:r>
      <w:bookmarkEnd w:id="0"/>
      <w:bookmarkEnd w:id="1"/>
      <w:bookmarkEnd w:id="2"/>
      <w:bookmarkEnd w:id="3"/>
      <w:bookmarkEnd w:id="4"/>
      <w:bookmarkEnd w:id="5"/>
      <w:bookmarkEnd w:id="6"/>
    </w:p>
    <w:p w14:paraId="3A07D177">
      <w:pPr>
        <w:keepNext w:val="0"/>
        <w:keepLines w:val="0"/>
        <w:pageBreakBefore w:val="0"/>
        <w:widowControl/>
        <w:kinsoku w:val="0"/>
        <w:wordWrap/>
        <w:overflowPunct/>
        <w:topLinePunct w:val="0"/>
        <w:autoSpaceDE w:val="0"/>
        <w:autoSpaceDN w:val="0"/>
        <w:bidi w:val="0"/>
        <w:adjustRightInd w:val="0"/>
        <w:snapToGrid w:val="0"/>
        <w:spacing w:before="140" w:line="240" w:lineRule="auto"/>
        <w:ind w:firstLine="0" w:firstLineChars="0"/>
        <w:jc w:val="center"/>
        <w:textAlignment w:val="baseline"/>
        <w:rPr>
          <w:rFonts w:hint="eastAsia" w:ascii="方正小标宋简体" w:hAnsi="方正小标宋简体" w:eastAsia="方正小标宋简体" w:cs="方正小标宋简体"/>
          <w:b w:val="0"/>
          <w:bCs w:val="0"/>
          <w:snapToGrid w:val="0"/>
          <w:color w:val="000000"/>
          <w:spacing w:val="4"/>
          <w:kern w:val="0"/>
          <w:sz w:val="44"/>
          <w:szCs w:val="44"/>
          <w:lang w:val="zh-CN" w:eastAsia="zh-CN" w:bidi="ar-SA"/>
        </w:rPr>
      </w:pPr>
      <w:r>
        <w:rPr>
          <w:rFonts w:hint="eastAsia" w:ascii="方正小标宋简体" w:hAnsi="方正小标宋简体" w:eastAsia="方正小标宋简体" w:cs="方正小标宋简体"/>
          <w:b w:val="0"/>
          <w:bCs w:val="0"/>
          <w:snapToGrid w:val="0"/>
          <w:color w:val="000000"/>
          <w:spacing w:val="4"/>
          <w:kern w:val="0"/>
          <w:sz w:val="44"/>
          <w:szCs w:val="44"/>
          <w:lang w:val="zh-CN" w:eastAsia="zh-CN" w:bidi="ar-SA"/>
        </w:rPr>
        <w:t>养老机构突发事件应急预案</w:t>
      </w:r>
    </w:p>
    <w:p w14:paraId="58FB9866">
      <w:pPr>
        <w:keepNext w:val="0"/>
        <w:keepLines w:val="0"/>
        <w:pageBreakBefore w:val="0"/>
        <w:widowControl/>
        <w:kinsoku w:val="0"/>
        <w:wordWrap/>
        <w:overflowPunct/>
        <w:topLinePunct w:val="0"/>
        <w:autoSpaceDE w:val="0"/>
        <w:autoSpaceDN w:val="0"/>
        <w:bidi w:val="0"/>
        <w:adjustRightInd w:val="0"/>
        <w:snapToGrid w:val="0"/>
        <w:spacing w:before="140" w:line="240" w:lineRule="auto"/>
        <w:ind w:firstLine="0" w:firstLineChars="0"/>
        <w:jc w:val="center"/>
        <w:textAlignment w:val="baseline"/>
        <w:rPr>
          <w:rFonts w:hint="eastAsia" w:ascii="方正小标宋简体" w:hAnsi="方正小标宋简体" w:eastAsia="方正小标宋简体" w:cs="方正小标宋简体"/>
          <w:b/>
          <w:bCs/>
          <w:snapToGrid w:val="0"/>
          <w:color w:val="000000"/>
          <w:spacing w:val="4"/>
          <w:kern w:val="0"/>
          <w:sz w:val="44"/>
          <w:szCs w:val="44"/>
          <w:lang w:val="zh-CN" w:eastAsia="zh-CN" w:bidi="ar-SA"/>
        </w:rPr>
        <w:sectPr>
          <w:pgSz w:w="11905" w:h="16838"/>
          <w:pgMar w:top="1451" w:right="1604" w:bottom="794" w:left="1604" w:header="0" w:footer="567" w:gutter="0"/>
          <w:pgNumType w:fmt="decimal" w:start="1"/>
          <w:cols w:space="0" w:num="1"/>
          <w:rtlGutter w:val="0"/>
          <w:docGrid w:linePitch="0" w:charSpace="0"/>
        </w:sectPr>
      </w:pPr>
    </w:p>
    <w:p w14:paraId="7E2A0F22">
      <w:pPr>
        <w:pStyle w:val="9"/>
        <w:keepNext w:val="0"/>
        <w:keepLines w:val="0"/>
        <w:pageBreakBefore w:val="0"/>
        <w:widowControl w:val="0"/>
        <w:tabs>
          <w:tab w:val="right" w:leader="dot" w:pos="9090"/>
        </w:tabs>
        <w:kinsoku/>
        <w:wordWrap/>
        <w:overflowPunct/>
        <w:topLinePunct w:val="0"/>
        <w:autoSpaceDE w:val="0"/>
        <w:autoSpaceDN w:val="0"/>
        <w:bidi w:val="0"/>
        <w:adjustRightInd/>
        <w:snapToGrid/>
        <w:ind w:left="0" w:leftChars="0"/>
        <w:jc w:val="both"/>
        <w:textAlignment w:val="auto"/>
        <w:rPr>
          <w:rFonts w:hint="eastAsia" w:ascii="宋体" w:hAnsi="宋体" w:eastAsia="宋体" w:cs="宋体"/>
          <w:snapToGrid/>
          <w:sz w:val="32"/>
          <w:szCs w:val="32"/>
          <w:lang w:val="zh-CN" w:eastAsia="zh-CN" w:bidi="zh-CN"/>
        </w:rPr>
      </w:pPr>
      <w:bookmarkStart w:id="7" w:name="bookmark48"/>
      <w:bookmarkEnd w:id="7"/>
      <w:bookmarkStart w:id="8" w:name="bookmark1"/>
      <w:bookmarkEnd w:id="8"/>
    </w:p>
    <w:sdt>
      <w:sdtPr>
        <w:rPr>
          <w:rFonts w:ascii="宋体" w:hAnsi="宋体" w:eastAsia="宋体" w:cs="Arial"/>
          <w:snapToGrid w:val="0"/>
          <w:color w:val="000000"/>
          <w:sz w:val="21"/>
          <w:szCs w:val="21"/>
          <w:lang w:val="en-US" w:eastAsia="en-US" w:bidi="ar-SA"/>
        </w:rPr>
        <w:id w:val="147464121"/>
        <w15:color w:val="DBDBDB"/>
        <w:docPartObj>
          <w:docPartGallery w:val="Table of Contents"/>
          <w:docPartUnique/>
        </w:docPartObj>
      </w:sdtPr>
      <w:sdtEndPr>
        <w:rPr>
          <w:rFonts w:ascii="宋体" w:hAnsi="宋体" w:eastAsia="宋体" w:cs="Arial"/>
          <w:snapToGrid w:val="0"/>
          <w:color w:val="000000"/>
          <w:sz w:val="21"/>
          <w:szCs w:val="21"/>
          <w:lang w:val="en-US" w:eastAsia="en-US" w:bidi="ar-SA"/>
        </w:rPr>
      </w:sdtEndPr>
      <w:sdtContent>
        <w:p w14:paraId="0C607804">
          <w:pPr>
            <w:spacing w:before="0" w:beforeLines="0" w:after="0" w:afterLines="0" w:line="240" w:lineRule="auto"/>
            <w:ind w:left="0" w:leftChars="0" w:right="0" w:rightChars="0" w:firstLine="0" w:firstLineChars="0"/>
            <w:jc w:val="center"/>
          </w:pPr>
          <w:r>
            <w:rPr>
              <w:rFonts w:ascii="宋体" w:hAnsi="宋体" w:eastAsia="宋体"/>
              <w:sz w:val="32"/>
              <w:szCs w:val="32"/>
            </w:rPr>
            <w:t>目录</w:t>
          </w:r>
        </w:p>
        <w:p w14:paraId="5303E57B">
          <w:pPr>
            <w:pStyle w:val="8"/>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fldChar w:fldCharType="begin"/>
          </w:r>
          <w:r>
            <w:instrText xml:space="preserve">TOC \o "1-2" \h \u </w:instrText>
          </w:r>
          <w: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_Toc17262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_Toc17262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8B6EC07">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_Toc12558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（一）编制目的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_Toc12558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1FABD8F">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_Toc21048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（二）编制依据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_Toc21048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6E89E19">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_Toc14668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（三）适用范围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_Toc14668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F4BC972">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_Toc19021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（四）事故分级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_Toc19021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070EFC4">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_Toc4799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（五）工作原则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_Toc4799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840E178">
          <w:pPr>
            <w:pStyle w:val="8"/>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_Toc7287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二、组织指挥机构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_Toc7287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3E6C8C2">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_Toc5592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（一）指挥机构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_Toc5592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F526DE1">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_Toc26371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（二）应急指挥部办公室及其职责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_Toc26371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BCACFF5">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_Toc30923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（三）应急指挥部成员单位主要职责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_Toc30923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F09B68D">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_Toc15374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（四）现场指挥机构及各工作小组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_Toc15374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FFF4407">
          <w:pPr>
            <w:pStyle w:val="8"/>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_Toc12071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三、风险管控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_Toc12071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D7189B4">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_Toc27428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（一）风险识别与评估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_Toc27428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F63C958">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_Toc21376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（二）风险控制与治理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_Toc21376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A846C5D">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_Toc28896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（三）监控与更新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_Toc28896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BD7DEB7">
          <w:pPr>
            <w:pStyle w:val="8"/>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_Toc21269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四、监测预警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_Toc21269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5D29D3C">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_Toc1129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（一）预防工作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_Toc1129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C0B964F">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_Toc5065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（二）预警与报警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_Toc5065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2E9FD4E">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_Toc14849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（三）预警信息发布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_Toc14849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D329949">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_Toc20222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（四）预警措施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_Toc20222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95D6167">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_Toc11021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（五）调整、解除警报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_Toc11021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524C6F1">
          <w:pPr>
            <w:pStyle w:val="8"/>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_Toc28673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五、信息报告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_Toc28673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3493F65">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_Toc22320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（一）报告程序和时限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_Toc22320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4A6D2B3">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_Toc31536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（二）报告方式与报告内容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_Toc31536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9716348">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_Toc20342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（三）先期处置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_Toc20342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399FD3F">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_Toc27397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（四）应急响应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_Toc27397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AEE60C4">
          <w:pPr>
            <w:pStyle w:val="8"/>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_Toc930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六、应急处置措施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_Toc930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467A51A">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_Toc6815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（一）现场指挥与协调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_Toc6815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229B44A">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_Toc2840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（二）处置措施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_Toc2840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F962282">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_Toc20877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（三）信息发布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_Toc20877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2F0F45B">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_Toc19970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（四）响应级别调整及终止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_Toc19970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760C455">
          <w:pPr>
            <w:pStyle w:val="8"/>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_Toc25307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七、现场管控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_Toc25307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24AC467">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_Toc22679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（一）现场控制措施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_Toc22679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FB686F2">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_Toc8636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（二）善后处置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_Toc8636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D14FDFC">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_Toc12725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（三）恢复重建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_Toc12725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961A66B">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_Toc16448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（四）社会救助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_Toc16448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837B7F5">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_Toc5931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（五）调查评估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_Toc5931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EC4CD83">
          <w:pPr>
            <w:pStyle w:val="8"/>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_Toc4341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八、队伍物资保障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_Toc4341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5B248C2">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_Toc21858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（一）应急机制保障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_Toc21858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4581CBF">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_Toc10860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（二）信息保障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_Toc10860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E8ADA6C">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_Toc23881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（三）队伍及装备保障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_Toc23881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9DE0AA9">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_Toc9201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（四）医疗卫生保障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_Toc9201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E1EF76F">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_Toc4786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（五）交通运输保障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_Toc4786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9BC34D0">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_Toc7415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（六）治安保障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_Toc7415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7EA9F30">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_Toc24192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（七）经费保障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_Toc24192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763D49E">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_Toc3342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（八）技术储备与保障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_Toc3342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69FA05D">
          <w:pPr>
            <w:pStyle w:val="8"/>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_Toc11092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九、预案管理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_Toc11092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685CA01">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_Toc2142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（一）预案编制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_Toc2142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4AFDD73">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_Toc26785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（二）预案演练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_Toc26785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EA224A1">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_Toc17642 </w:instrText>
          </w:r>
          <w:r>
            <w:rPr>
              <w:rFonts w:hint="eastAsia" w:ascii="仿宋" w:hAnsi="仿宋" w:eastAsia="仿宋" w:cs="仿宋"/>
              <w:sz w:val="32"/>
              <w:szCs w:val="32"/>
            </w:rPr>
            <w:fldChar w:fldCharType="separate"/>
          </w:r>
          <w:r>
            <w:rPr>
              <w:rFonts w:hint="eastAsia" w:ascii="仿宋" w:hAnsi="仿宋" w:eastAsia="仿宋" w:cs="仿宋"/>
              <w:bCs w:val="0"/>
              <w:snapToGrid/>
              <w:sz w:val="32"/>
              <w:szCs w:val="48"/>
              <w:lang w:val="zh-CN" w:eastAsia="zh-CN" w:bidi="zh-CN"/>
            </w:rPr>
            <w:t>（三）预案评估与修订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_Toc17642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02A2167">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_Toc20293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（四）教育和培训</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_Toc20293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2092531">
          <w:pPr>
            <w:pStyle w:val="9"/>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_Toc20287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（五）责任与奖惩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_Toc20287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6EA5F7F">
          <w:pPr>
            <w:pStyle w:val="8"/>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十、附则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_Toc15394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B0A5941">
          <w:pPr>
            <w:pStyle w:val="8"/>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_Toc4401 </w:instrText>
          </w:r>
          <w:r>
            <w:rPr>
              <w:rFonts w:hint="eastAsia" w:ascii="仿宋" w:hAnsi="仿宋" w:eastAsia="仿宋" w:cs="仿宋"/>
              <w:sz w:val="32"/>
              <w:szCs w:val="32"/>
            </w:rPr>
            <w:fldChar w:fldCharType="separate"/>
          </w:r>
          <w:r>
            <w:rPr>
              <w:rFonts w:hint="eastAsia" w:ascii="仿宋" w:hAnsi="仿宋" w:eastAsia="仿宋" w:cs="仿宋"/>
              <w:spacing w:val="0"/>
              <w:sz w:val="32"/>
              <w:szCs w:val="48"/>
              <w:lang w:eastAsia="zh-CN"/>
            </w:rPr>
            <w:t>十一、附件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_Toc4401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BBE306A">
          <w:pPr>
            <w:pStyle w:val="8"/>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_Toc22606 </w:instrText>
          </w:r>
          <w:r>
            <w:rPr>
              <w:rFonts w:hint="eastAsia" w:ascii="仿宋" w:hAnsi="仿宋" w:eastAsia="仿宋" w:cs="仿宋"/>
              <w:sz w:val="32"/>
              <w:szCs w:val="32"/>
            </w:rPr>
            <w:fldChar w:fldCharType="separate"/>
          </w:r>
          <w:r>
            <w:rPr>
              <w:rFonts w:hint="eastAsia" w:ascii="仿宋" w:hAnsi="仿宋" w:eastAsia="仿宋" w:cs="仿宋"/>
              <w:spacing w:val="0"/>
              <w:sz w:val="32"/>
              <w:szCs w:val="48"/>
              <w:lang w:val="en-US" w:eastAsia="zh-CN" w:bidi="zh-CN"/>
            </w:rPr>
            <w:t xml:space="preserve">附件 </w:t>
          </w:r>
          <w:r>
            <w:rPr>
              <w:rFonts w:hint="eastAsia" w:ascii="仿宋" w:hAnsi="仿宋" w:eastAsia="仿宋" w:cs="仿宋"/>
              <w:bCs w:val="0"/>
              <w:snapToGrid w:val="0"/>
              <w:spacing w:val="0"/>
              <w:sz w:val="32"/>
              <w:szCs w:val="60"/>
              <w:lang w:val="en-US" w:eastAsia="zh-CN" w:bidi="ar-SA"/>
            </w:rPr>
            <w:t>风险分级管控及评价方法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_Toc22606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0E5464F">
          <w:pPr>
            <w:pStyle w:val="8"/>
            <w:keepNext w:val="0"/>
            <w:keepLines w:val="0"/>
            <w:pageBreakBefore w:val="0"/>
            <w:widowControl/>
            <w:tabs>
              <w:tab w:val="right" w:leader="dot" w:pos="8243"/>
            </w:tabs>
            <w:kinsoku w:val="0"/>
            <w:wordWrap/>
            <w:overflowPunct/>
            <w:topLinePunct w:val="0"/>
            <w:autoSpaceDE w:val="0"/>
            <w:autoSpaceDN w:val="0"/>
            <w:bidi w:val="0"/>
            <w:adjustRightInd w:val="0"/>
            <w:snapToGrid w:val="0"/>
            <w:spacing w:line="560" w:lineRule="exact"/>
            <w:textAlignment w:val="baseline"/>
          </w:pPr>
        </w:p>
        <w:p w14:paraId="0CC9374A">
          <w:pPr>
            <w:sectPr>
              <w:footerReference r:id="rId3" w:type="default"/>
              <w:pgSz w:w="11905" w:h="16838"/>
              <w:pgMar w:top="1451" w:right="1831" w:bottom="1417" w:left="1831" w:header="0" w:footer="567" w:gutter="0"/>
              <w:pgNumType w:fmt="decimal" w:start="1"/>
              <w:cols w:space="0" w:num="1"/>
              <w:rtlGutter w:val="0"/>
              <w:docGrid w:linePitch="0" w:charSpace="0"/>
            </w:sectPr>
          </w:pPr>
          <w:r>
            <w:fldChar w:fldCharType="end"/>
          </w:r>
        </w:p>
      </w:sdtContent>
    </w:sdt>
    <w:p w14:paraId="4760E8D5">
      <w:pPr>
        <w:pStyle w:val="2"/>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ascii="Times New Roman" w:hAnsi="Times New Roman" w:cs="Times New Roman"/>
          <w:lang w:eastAsia="zh-CN"/>
        </w:rPr>
      </w:pPr>
      <w:bookmarkStart w:id="9" w:name="_Toc18927"/>
      <w:bookmarkStart w:id="10" w:name="_Toc17262"/>
      <w:r>
        <w:rPr>
          <w:rFonts w:ascii="Times New Roman" w:hAnsi="Times New Roman" w:cs="Times New Roman"/>
          <w:lang w:eastAsia="zh-CN"/>
        </w:rPr>
        <w:t>一、总则</w:t>
      </w:r>
      <w:bookmarkEnd w:id="9"/>
      <w:bookmarkEnd w:id="10"/>
    </w:p>
    <w:p w14:paraId="2FB1FCAA">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11" w:name="bookmark2"/>
      <w:bookmarkEnd w:id="11"/>
      <w:bookmarkStart w:id="12" w:name="_Toc12558"/>
      <w:bookmarkStart w:id="13" w:name="_Toc30549"/>
      <w:r>
        <w:rPr>
          <w:rFonts w:hint="eastAsia" w:ascii="楷体" w:hAnsi="楷体" w:eastAsia="楷体" w:cs="楷体"/>
          <w:b w:val="0"/>
          <w:bCs w:val="0"/>
          <w:snapToGrid/>
          <w:sz w:val="32"/>
          <w:szCs w:val="32"/>
          <w:lang w:val="zh-CN" w:eastAsia="zh-CN" w:bidi="zh-CN"/>
        </w:rPr>
        <w:t>（一）编制目的</w:t>
      </w:r>
      <w:bookmarkEnd w:id="12"/>
      <w:bookmarkEnd w:id="13"/>
    </w:p>
    <w:p w14:paraId="4ECC8551">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为有效预防、及时控制和妥善处理向阳区养老机构突发事件，建立健全应急机制，提高快速反应和应急处理能力，确保民政服务对象的生命与财产安全，保证正常的管理生活秩序，维护社会稳定，特制定本预案。</w:t>
      </w:r>
    </w:p>
    <w:p w14:paraId="17234BB8">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14" w:name="bookmark3"/>
      <w:bookmarkEnd w:id="14"/>
      <w:bookmarkStart w:id="15" w:name="_Toc5319"/>
      <w:bookmarkStart w:id="16" w:name="_Toc21048"/>
      <w:r>
        <w:rPr>
          <w:rFonts w:hint="eastAsia" w:ascii="楷体" w:hAnsi="楷体" w:eastAsia="楷体" w:cs="楷体"/>
          <w:b w:val="0"/>
          <w:bCs w:val="0"/>
          <w:snapToGrid/>
          <w:sz w:val="32"/>
          <w:szCs w:val="32"/>
          <w:lang w:val="zh-CN" w:eastAsia="zh-CN" w:bidi="zh-CN"/>
        </w:rPr>
        <w:t>（二）编制依据</w:t>
      </w:r>
      <w:bookmarkEnd w:id="15"/>
      <w:bookmarkEnd w:id="16"/>
    </w:p>
    <w:p w14:paraId="401C9CC6">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1.</w:t>
      </w:r>
      <w:r>
        <w:rPr>
          <w:rFonts w:hint="eastAsia" w:ascii="仿宋" w:hAnsi="仿宋" w:eastAsia="仿宋" w:cs="仿宋"/>
          <w:lang w:eastAsia="zh-CN"/>
        </w:rPr>
        <w:t>《中华人民共和国安全生产法》（主席令第88号）</w:t>
      </w:r>
    </w:p>
    <w:p w14:paraId="24B723FC">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lang w:eastAsia="zh-CN"/>
        </w:rPr>
        <w:t>《中华人民共和国突发事件应对法》（主席令第25号）</w:t>
      </w:r>
    </w:p>
    <w:p w14:paraId="20EC3C09">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《养老机构管理办法》（民政部令第66号）</w:t>
      </w:r>
    </w:p>
    <w:p w14:paraId="303C68D3">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4.</w:t>
      </w:r>
      <w:r>
        <w:rPr>
          <w:rFonts w:hint="eastAsia" w:ascii="仿宋" w:hAnsi="仿宋" w:eastAsia="仿宋" w:cs="仿宋"/>
          <w:lang w:eastAsia="zh-CN"/>
        </w:rPr>
        <w:t>《生产安全事故报告和调查处理条例》（国务院令第493号）</w:t>
      </w:r>
    </w:p>
    <w:p w14:paraId="1E6F67A3">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5.</w:t>
      </w:r>
      <w:r>
        <w:rPr>
          <w:rFonts w:hint="eastAsia" w:ascii="仿宋" w:hAnsi="仿宋" w:eastAsia="仿宋" w:cs="仿宋"/>
          <w:lang w:eastAsia="zh-CN"/>
        </w:rPr>
        <w:t>《佳木斯市向阳区突发事件总体应急预案》</w:t>
      </w:r>
    </w:p>
    <w:p w14:paraId="32E79D99">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17" w:name="bookmark4"/>
      <w:bookmarkEnd w:id="17"/>
      <w:bookmarkStart w:id="18" w:name="_Toc14668"/>
      <w:bookmarkStart w:id="19" w:name="_Toc18741"/>
      <w:r>
        <w:rPr>
          <w:rFonts w:hint="eastAsia" w:ascii="楷体" w:hAnsi="楷体" w:eastAsia="楷体" w:cs="楷体"/>
          <w:b w:val="0"/>
          <w:bCs w:val="0"/>
          <w:snapToGrid/>
          <w:sz w:val="32"/>
          <w:szCs w:val="32"/>
          <w:lang w:val="zh-CN" w:eastAsia="zh-CN" w:bidi="zh-CN"/>
        </w:rPr>
        <w:t>（三）适用范围</w:t>
      </w:r>
      <w:bookmarkEnd w:id="18"/>
      <w:bookmarkEnd w:id="19"/>
    </w:p>
    <w:p w14:paraId="7A95D80F">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本预案适用于佳木斯市向阳区养老机构应对一般（Ⅳ级）突发事件的应急处置工作。</w:t>
      </w:r>
    </w:p>
    <w:p w14:paraId="618EC3B7">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本预案所指的突发事件，主要包括养老机构场所发生的火灾、建筑物倒塌、拥挤踩踏等安全事故，以及易燃易爆、有毒有害物品安全事故，造成影响和损失的后勤供水、电、气、热、油等事故，食物中毒、环境污染和生态破坏事故，针对民政服务对象和管理人员的各类恐怖袭击、暴力事件，自然灾害、影响机构安全与稳定的其他突发事故等。</w:t>
      </w:r>
    </w:p>
    <w:p w14:paraId="3CF71E85">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20" w:name="bookmark5"/>
      <w:bookmarkEnd w:id="20"/>
      <w:bookmarkStart w:id="21" w:name="_Toc19021"/>
      <w:bookmarkStart w:id="22" w:name="_Toc19594"/>
      <w:r>
        <w:rPr>
          <w:rFonts w:hint="eastAsia" w:ascii="楷体" w:hAnsi="楷体" w:eastAsia="楷体" w:cs="楷体"/>
          <w:b w:val="0"/>
          <w:bCs w:val="0"/>
          <w:snapToGrid/>
          <w:sz w:val="32"/>
          <w:szCs w:val="32"/>
          <w:lang w:val="zh-CN" w:eastAsia="zh-CN" w:bidi="zh-CN"/>
        </w:rPr>
        <w:t>（四）事故分级</w:t>
      </w:r>
      <w:bookmarkEnd w:id="21"/>
      <w:bookmarkEnd w:id="22"/>
    </w:p>
    <w:p w14:paraId="49C66A41">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bookmarkStart w:id="23" w:name="bookmark49"/>
      <w:bookmarkEnd w:id="23"/>
      <w:r>
        <w:rPr>
          <w:rFonts w:hint="eastAsia" w:ascii="仿宋" w:hAnsi="仿宋" w:eastAsia="仿宋" w:cs="仿宋"/>
          <w:lang w:eastAsia="zh-CN"/>
        </w:rPr>
        <w:t>养老机构突发事件分级，参照国务院《生产安全事故报告和调查处理条例》的划分标准，并针对养老机构服务对象的特殊性，相应提高了等级划分标准。</w:t>
      </w:r>
    </w:p>
    <w:p w14:paraId="0314BA83">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1.特别重大事故（I级）：机构所在区域内造成10人以上死亡，或者30人以上重伤，或者1000万元以上直接经济损失的事故。</w:t>
      </w:r>
    </w:p>
    <w:p w14:paraId="4D43E185">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2.重大事故（Ⅱ级）：机构所在区域内造成3人以上10人以下死亡，或者10人以上30人以下重伤，或者500万元以上1000万元以下直接经济损失的事故。</w:t>
      </w:r>
    </w:p>
    <w:p w14:paraId="402F926C">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3.较大事故（Ⅲ级）：机构所在区域内造成3人以下死亡，或者3人以上10人以下重伤，或者100万元以上500万元以下直接经济损失的事故。</w:t>
      </w:r>
    </w:p>
    <w:p w14:paraId="7C110150">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4.一般事故（Ⅳ级）：机构所在区域内造成3人以下重伤，或者100万元以下直接经济损失的事故。</w:t>
      </w:r>
    </w:p>
    <w:p w14:paraId="336C503A">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24" w:name="bookmark6"/>
      <w:bookmarkEnd w:id="24"/>
      <w:bookmarkStart w:id="25" w:name="_Toc4799"/>
      <w:bookmarkStart w:id="26" w:name="_Toc19417"/>
      <w:r>
        <w:rPr>
          <w:rFonts w:hint="eastAsia" w:ascii="楷体" w:hAnsi="楷体" w:eastAsia="楷体" w:cs="楷体"/>
          <w:b w:val="0"/>
          <w:bCs w:val="0"/>
          <w:snapToGrid/>
          <w:sz w:val="32"/>
          <w:szCs w:val="32"/>
          <w:lang w:val="zh-CN" w:eastAsia="zh-CN" w:bidi="zh-CN"/>
        </w:rPr>
        <w:t>（五）工作原则</w:t>
      </w:r>
      <w:bookmarkEnd w:id="25"/>
      <w:bookmarkEnd w:id="26"/>
    </w:p>
    <w:p w14:paraId="5D4E85C7">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1.坚持以人民为中心的发展思想</w:t>
      </w:r>
      <w:r>
        <w:rPr>
          <w:rFonts w:hint="eastAsia" w:ascii="仿宋" w:hAnsi="仿宋" w:eastAsia="仿宋" w:cs="仿宋"/>
          <w:lang w:eastAsia="zh-CN"/>
        </w:rPr>
        <w:t>。牢固树立以人为本理念，建立健全党委领导下的应急管理行政领导负责制，把保障公众健康和生命财产安全作为首要任务，最大程度地减轻突发事件风险、减少突发事件的发生及其造成的人员伤亡和危害。</w:t>
      </w:r>
    </w:p>
    <w:p w14:paraId="286F12CA">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2.坚持居安思危、预防为主。</w:t>
      </w:r>
      <w:r>
        <w:rPr>
          <w:rFonts w:hint="eastAsia" w:ascii="仿宋" w:hAnsi="仿宋" w:eastAsia="仿宋" w:cs="仿宋"/>
          <w:lang w:eastAsia="zh-CN"/>
        </w:rPr>
        <w:t>高度重视风险防范和应急准备，深化全过程风险管理，做到预防与应急并重、常态与非常态相结合。</w:t>
      </w:r>
    </w:p>
    <w:p w14:paraId="48308DA6">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3.坚持政府主导、社会参与。</w:t>
      </w:r>
      <w:r>
        <w:rPr>
          <w:rFonts w:hint="eastAsia" w:ascii="仿宋" w:hAnsi="仿宋" w:eastAsia="仿宋" w:cs="仿宋"/>
          <w:lang w:eastAsia="zh-CN"/>
        </w:rPr>
        <w:t>完善统一领导、综合协调、分类管理、分级负责、属地管理为主的应急管理体制，建立健全应急联动机制，引导社会和公众有序参与，充分发挥基层一线的作用。有效整合政府和社会现有资源，健全信息和资源共建共享机制。</w:t>
      </w:r>
    </w:p>
    <w:p w14:paraId="09B6F0F9">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4.坚持快速反应、高效处置。</w:t>
      </w:r>
      <w:r>
        <w:rPr>
          <w:rFonts w:hint="eastAsia" w:ascii="仿宋" w:hAnsi="仿宋" w:eastAsia="仿宋" w:cs="仿宋"/>
          <w:lang w:eastAsia="zh-CN"/>
        </w:rPr>
        <w:t>建立健全以区消防救援队伍为主</w:t>
      </w:r>
      <w:bookmarkStart w:id="27" w:name="bookmark50"/>
      <w:bookmarkEnd w:id="27"/>
      <w:r>
        <w:rPr>
          <w:rFonts w:hint="eastAsia" w:ascii="仿宋" w:hAnsi="仿宋" w:eastAsia="仿宋" w:cs="仿宋"/>
          <w:lang w:eastAsia="zh-CN"/>
        </w:rPr>
        <w:t>力、以专业救援队伍为骨干、以社会力量为辅助的应急救援力量体系，健全完善各类力量快速反应、联动协调机制，高效处置各类突发事件。</w:t>
      </w:r>
    </w:p>
    <w:p w14:paraId="4A4747DD">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5.坚持依法管理、科学应对。</w:t>
      </w:r>
      <w:r>
        <w:rPr>
          <w:rFonts w:hint="eastAsia" w:ascii="仿宋" w:hAnsi="仿宋" w:eastAsia="仿宋" w:cs="仿宋"/>
          <w:lang w:eastAsia="zh-CN"/>
        </w:rPr>
        <w:t>强化社会各类主体法定责任，依法依规应对突发事件，实现应对工作的规范化、法治化。充分发挥专家队伍和专业人员的作用，利用科技创新工作方法，提高应对突发事件的智能化、专业化水平。</w:t>
      </w:r>
    </w:p>
    <w:p w14:paraId="2818BFD0">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6.坚持信息公开、正确引导。</w:t>
      </w:r>
      <w:r>
        <w:rPr>
          <w:rFonts w:hint="eastAsia" w:ascii="仿宋" w:hAnsi="仿宋" w:eastAsia="仿宋" w:cs="仿宋"/>
          <w:lang w:eastAsia="zh-CN"/>
        </w:rPr>
        <w:t>及时、准确、客观、统一发布权威信息，认真回应关切，正确引导舆论。充分发挥新闻媒体的作用，提高宣传引导的针对性和有效性。</w:t>
      </w:r>
      <w:bookmarkStart w:id="28" w:name="bookmark7"/>
      <w:bookmarkEnd w:id="28"/>
    </w:p>
    <w:p w14:paraId="388ECD71">
      <w:pPr>
        <w:pStyle w:val="2"/>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lang w:eastAsia="zh-CN"/>
        </w:rPr>
      </w:pPr>
      <w:bookmarkStart w:id="29" w:name="_Toc7287"/>
      <w:bookmarkStart w:id="30" w:name="_Toc12407"/>
      <w:r>
        <w:rPr>
          <w:rFonts w:hint="eastAsia"/>
          <w:lang w:eastAsia="zh-CN"/>
        </w:rPr>
        <w:t>二、组织指挥机构</w:t>
      </w:r>
      <w:bookmarkEnd w:id="29"/>
      <w:bookmarkEnd w:id="30"/>
    </w:p>
    <w:p w14:paraId="2686A31C">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lang w:eastAsia="zh-CN"/>
        </w:rPr>
      </w:pPr>
      <w:bookmarkStart w:id="31" w:name="bookmark8"/>
      <w:bookmarkEnd w:id="31"/>
      <w:bookmarkStart w:id="32" w:name="_Toc8112"/>
      <w:bookmarkStart w:id="33" w:name="_Toc5592"/>
      <w:r>
        <w:rPr>
          <w:rFonts w:hint="eastAsia" w:ascii="楷体" w:hAnsi="楷体" w:eastAsia="楷体" w:cs="楷体"/>
          <w:b w:val="0"/>
          <w:bCs/>
          <w:lang w:eastAsia="zh-CN"/>
        </w:rPr>
        <w:t>（一）指挥机构</w:t>
      </w:r>
      <w:bookmarkEnd w:id="32"/>
      <w:bookmarkEnd w:id="33"/>
    </w:p>
    <w:p w14:paraId="2ADAA5F9">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成立向阳区养老机构突发事件应急指挥部（以下称</w:t>
      </w:r>
      <w:r>
        <w:rPr>
          <w:rFonts w:hint="eastAsia" w:ascii="仿宋" w:hAnsi="仿宋" w:eastAsia="仿宋" w:cs="仿宋"/>
          <w:lang w:val="en-US" w:eastAsia="zh-CN"/>
        </w:rPr>
        <w:t>区</w:t>
      </w:r>
      <w:r>
        <w:rPr>
          <w:rFonts w:hint="eastAsia" w:ascii="仿宋" w:hAnsi="仿宋" w:eastAsia="仿宋" w:cs="仿宋"/>
          <w:lang w:eastAsia="zh-CN"/>
        </w:rPr>
        <w:t>应急指挥部），负责领导、组织和协调全区养老机构突发事件应急处置工作。</w:t>
      </w:r>
    </w:p>
    <w:p w14:paraId="30F7DAF0">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总</w:t>
      </w:r>
      <w:r>
        <w:rPr>
          <w:rFonts w:hint="eastAsia" w:ascii="仿宋" w:hAnsi="仿宋" w:eastAsia="仿宋" w:cs="仿宋"/>
          <w:lang w:val="en-US" w:eastAsia="zh-CN"/>
        </w:rPr>
        <w:t xml:space="preserve"> </w:t>
      </w:r>
      <w:r>
        <w:rPr>
          <w:rFonts w:hint="eastAsia" w:ascii="仿宋" w:hAnsi="仿宋" w:eastAsia="仿宋" w:cs="仿宋"/>
          <w:lang w:eastAsia="zh-CN"/>
        </w:rPr>
        <w:t>指</w:t>
      </w:r>
      <w:r>
        <w:rPr>
          <w:rFonts w:hint="eastAsia" w:ascii="仿宋" w:hAnsi="仿宋" w:eastAsia="仿宋" w:cs="仿宋"/>
          <w:lang w:val="en-US" w:eastAsia="zh-CN"/>
        </w:rPr>
        <w:t xml:space="preserve"> </w:t>
      </w:r>
      <w:r>
        <w:rPr>
          <w:rFonts w:hint="eastAsia" w:ascii="仿宋" w:hAnsi="仿宋" w:eastAsia="仿宋" w:cs="仿宋"/>
          <w:lang w:eastAsia="zh-CN"/>
        </w:rPr>
        <w:t>挥：主管行业副区长</w:t>
      </w:r>
    </w:p>
    <w:p w14:paraId="519DCA0B">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副总指挥：区民政局</w:t>
      </w:r>
      <w:r>
        <w:rPr>
          <w:rFonts w:hint="eastAsia" w:ascii="仿宋" w:hAnsi="仿宋" w:eastAsia="仿宋" w:cs="仿宋"/>
          <w:lang w:val="en-US" w:eastAsia="zh-CN"/>
        </w:rPr>
        <w:t>局长</w:t>
      </w:r>
    </w:p>
    <w:p w14:paraId="54B819F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成员单位：区委宣传部</w:t>
      </w:r>
    </w:p>
    <w:p w14:paraId="659270D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区财政局</w:t>
      </w:r>
    </w:p>
    <w:p w14:paraId="0F1248B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区住建局</w:t>
      </w:r>
    </w:p>
    <w:p w14:paraId="74334291">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区城管局</w:t>
      </w:r>
    </w:p>
    <w:p w14:paraId="4A91C47D">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区卫健局</w:t>
      </w:r>
    </w:p>
    <w:p w14:paraId="2DC68AC6">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区应急局</w:t>
      </w:r>
    </w:p>
    <w:p w14:paraId="08C613A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区市场局</w:t>
      </w:r>
    </w:p>
    <w:p w14:paraId="60469C49">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向阳公安分局</w:t>
      </w:r>
    </w:p>
    <w:p w14:paraId="2C639394">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区消防救援大队</w:t>
      </w:r>
    </w:p>
    <w:p w14:paraId="6C39B853">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向阳交警大队</w:t>
      </w:r>
    </w:p>
    <w:p w14:paraId="7FE78D3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向阳生态环境局</w:t>
      </w:r>
    </w:p>
    <w:p w14:paraId="4B64FC3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区信访局</w:t>
      </w:r>
    </w:p>
    <w:p w14:paraId="4587019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区工信局</w:t>
      </w:r>
    </w:p>
    <w:p w14:paraId="3C096A20">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区教育局</w:t>
      </w:r>
    </w:p>
    <w:p w14:paraId="44B47CB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区水务局</w:t>
      </w:r>
    </w:p>
    <w:p w14:paraId="5640B49E">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区民政局</w:t>
      </w:r>
    </w:p>
    <w:p w14:paraId="32C3415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区人社局</w:t>
      </w:r>
    </w:p>
    <w:p w14:paraId="1946774D">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区工信局</w:t>
      </w:r>
    </w:p>
    <w:p w14:paraId="19D5DAD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区商务局</w:t>
      </w:r>
    </w:p>
    <w:p w14:paraId="23A1A4F4">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区发改局</w:t>
      </w:r>
    </w:p>
    <w:p w14:paraId="6DAD4203">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各街道办事处</w:t>
      </w:r>
    </w:p>
    <w:p w14:paraId="2CC12F3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各村屯</w:t>
      </w:r>
    </w:p>
    <w:p w14:paraId="2761E3E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lang w:eastAsia="zh-CN"/>
        </w:rPr>
      </w:pPr>
      <w:r>
        <w:rPr>
          <w:rFonts w:hint="eastAsia" w:ascii="仿宋" w:hAnsi="仿宋" w:eastAsia="仿宋" w:cs="仿宋"/>
          <w:snapToGrid w:val="0"/>
          <w:color w:val="000000"/>
          <w:sz w:val="32"/>
          <w:szCs w:val="21"/>
          <w:lang w:val="en-US" w:eastAsia="zh-CN" w:bidi="ar-SA"/>
        </w:rPr>
        <w:t>各部门和单位分管负责人，事发地街道办事处（村屯）分管负责人组成。</w:t>
      </w:r>
    </w:p>
    <w:p w14:paraId="19B3F3AC">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应急指挥部主要工作职责：贯彻执行国家有关养老机构应急工作的方针政策和区委、区政府有关养老机构应急工作的指示和要求，部署养老机构突发事件应急工作；建立和完善预警机制，组织制定相关应急预案；指导和协调养老机构突发事件应急工作，研究决定应急处理工作的重要事项和重大决策；组织指挥应对一般（Ⅳ级）突发事件的调查；向区政府报告养老机构突发事件应急工作开展情况。</w:t>
      </w:r>
    </w:p>
    <w:p w14:paraId="2797DE8F">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lang w:eastAsia="zh-CN"/>
        </w:rPr>
      </w:pPr>
      <w:bookmarkStart w:id="34" w:name="bookmark9"/>
      <w:bookmarkEnd w:id="34"/>
      <w:bookmarkStart w:id="35" w:name="_Toc26371"/>
      <w:bookmarkStart w:id="36" w:name="_Toc27834"/>
      <w:r>
        <w:rPr>
          <w:rFonts w:hint="eastAsia" w:ascii="楷体" w:hAnsi="楷体" w:eastAsia="楷体" w:cs="楷体"/>
          <w:b w:val="0"/>
          <w:bCs/>
          <w:lang w:eastAsia="zh-CN"/>
        </w:rPr>
        <w:t>（二）应急指挥部办公室及其职责</w:t>
      </w:r>
      <w:bookmarkEnd w:id="35"/>
      <w:bookmarkEnd w:id="36"/>
    </w:p>
    <w:p w14:paraId="0841DBF6">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向阳区养老机构突发事件应急指挥部下设办公室（以下简称应急指挥部办公室），作为向阳区养老机构突发事件应急办事机构。</w:t>
      </w:r>
    </w:p>
    <w:p w14:paraId="61A00ED5">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应急指挥部办公室设在向阳区民政局，主任由向阳区民政局局长兼任，副主任由分管副局长</w:t>
      </w:r>
      <w:r>
        <w:rPr>
          <w:rFonts w:hint="eastAsia" w:ascii="仿宋" w:hAnsi="仿宋" w:eastAsia="仿宋" w:cs="仿宋"/>
          <w:lang w:val="en-US" w:eastAsia="zh-CN"/>
        </w:rPr>
        <w:t>兼任</w:t>
      </w:r>
      <w:r>
        <w:rPr>
          <w:rFonts w:hint="eastAsia" w:ascii="仿宋" w:hAnsi="仿宋" w:eastAsia="仿宋" w:cs="仿宋"/>
          <w:lang w:eastAsia="zh-CN"/>
        </w:rPr>
        <w:t>，成员由向阳区民政局相关科室、有关单位负责同志组成。</w:t>
      </w:r>
    </w:p>
    <w:p w14:paraId="0B2239C6">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b/>
          <w:bCs/>
          <w:lang w:eastAsia="zh-CN"/>
        </w:rPr>
      </w:pPr>
      <w:r>
        <w:rPr>
          <w:rFonts w:hint="eastAsia" w:ascii="仿宋" w:hAnsi="仿宋" w:eastAsia="仿宋" w:cs="仿宋"/>
          <w:b/>
          <w:bCs/>
          <w:lang w:eastAsia="zh-CN"/>
        </w:rPr>
        <w:t>应急指挥部办公室主要工作职责：</w:t>
      </w:r>
    </w:p>
    <w:p w14:paraId="422F1ED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64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1.</w:t>
      </w:r>
      <w:r>
        <w:rPr>
          <w:rFonts w:hint="eastAsia" w:ascii="仿宋" w:hAnsi="仿宋" w:eastAsia="仿宋" w:cs="仿宋"/>
          <w:lang w:eastAsia="zh-CN"/>
        </w:rPr>
        <w:t>负责落实应急指挥部的指令，制定和修订应急响应方案；</w:t>
      </w:r>
    </w:p>
    <w:p w14:paraId="0944685E">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64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lang w:eastAsia="zh-CN"/>
        </w:rPr>
        <w:t>建立相关的专家库；组织应急人员培训和演练；</w:t>
      </w:r>
    </w:p>
    <w:p w14:paraId="5B6FF7D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64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收集相关信息，全日制受理和收集养老机构事件信息并及时上报；</w:t>
      </w:r>
    </w:p>
    <w:p w14:paraId="1ADD2859">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64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4.</w:t>
      </w:r>
      <w:r>
        <w:rPr>
          <w:rFonts w:hint="eastAsia" w:ascii="仿宋" w:hAnsi="仿宋" w:eastAsia="仿宋" w:cs="仿宋"/>
          <w:lang w:eastAsia="zh-CN"/>
        </w:rPr>
        <w:t>组织养老机构制定和修订应急预案，随时应对可能发生的突发事件；</w:t>
      </w:r>
    </w:p>
    <w:p w14:paraId="5530A18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64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5.</w:t>
      </w:r>
      <w:r>
        <w:rPr>
          <w:rFonts w:hint="eastAsia" w:ascii="仿宋" w:hAnsi="仿宋" w:eastAsia="仿宋" w:cs="仿宋"/>
          <w:lang w:eastAsia="zh-CN"/>
        </w:rPr>
        <w:t>发生养老机构突发事件时，负责甄别事件级别，初步提出实施预警和启动应急预案的建议；</w:t>
      </w:r>
    </w:p>
    <w:p w14:paraId="5FCD1EB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64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6.</w:t>
      </w:r>
      <w:r>
        <w:rPr>
          <w:rFonts w:hint="eastAsia" w:ascii="仿宋" w:hAnsi="仿宋" w:eastAsia="仿宋" w:cs="仿宋"/>
          <w:lang w:eastAsia="zh-CN"/>
        </w:rPr>
        <w:t>根据分工组织养老机构突发事件处置工作；</w:t>
      </w:r>
    </w:p>
    <w:p w14:paraId="5465F07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640" w:firstLineChars="200"/>
        <w:jc w:val="both"/>
        <w:textAlignment w:val="baseline"/>
        <w:rPr>
          <w:rFonts w:eastAsia="仿宋" w:cs="Times New Roman"/>
          <w:szCs w:val="27"/>
          <w:lang w:eastAsia="zh-CN"/>
        </w:rPr>
      </w:pPr>
      <w:r>
        <w:rPr>
          <w:rFonts w:hint="eastAsia" w:ascii="仿宋" w:hAnsi="仿宋" w:eastAsia="仿宋" w:cs="仿宋"/>
          <w:lang w:val="en-US" w:eastAsia="zh-CN"/>
        </w:rPr>
        <w:t>7.</w:t>
      </w:r>
      <w:r>
        <w:rPr>
          <w:rFonts w:hint="eastAsia" w:ascii="仿宋" w:hAnsi="仿宋" w:eastAsia="仿宋" w:cs="仿宋"/>
          <w:lang w:eastAsia="zh-CN"/>
        </w:rPr>
        <w:t>组织有关部门和专家，对事故的原因、发展趋势及影响程度等进行评估，为应急指挥部决策提供依据。</w:t>
      </w:r>
    </w:p>
    <w:p w14:paraId="65C82049">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lang w:eastAsia="zh-CN"/>
        </w:rPr>
      </w:pPr>
      <w:bookmarkStart w:id="37" w:name="bookmark10"/>
      <w:bookmarkEnd w:id="37"/>
      <w:bookmarkStart w:id="38" w:name="bookmark52"/>
      <w:bookmarkEnd w:id="38"/>
      <w:bookmarkStart w:id="39" w:name="_Toc30923"/>
      <w:bookmarkStart w:id="40" w:name="_Toc8108"/>
      <w:r>
        <w:rPr>
          <w:rFonts w:hint="eastAsia" w:ascii="楷体" w:hAnsi="楷体" w:eastAsia="楷体" w:cs="楷体"/>
          <w:b w:val="0"/>
          <w:bCs/>
          <w:lang w:eastAsia="zh-CN"/>
        </w:rPr>
        <w:t>（三）应急指挥部成员单位主要职责</w:t>
      </w:r>
      <w:bookmarkEnd w:id="39"/>
      <w:bookmarkEnd w:id="40"/>
    </w:p>
    <w:p w14:paraId="498B7CCA">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在应急指挥部的统一领导下，区有关部门按照职责分工，各司其职，密切配合，共同开展养老机构突发事件应急工作。</w:t>
      </w:r>
      <w:r>
        <w:rPr>
          <w:rFonts w:hint="eastAsia" w:ascii="仿宋" w:hAnsi="仿宋" w:eastAsia="仿宋" w:cs="仿宋"/>
          <w:b/>
          <w:bCs/>
          <w:lang w:eastAsia="zh-CN"/>
        </w:rPr>
        <w:t>主要工作职责：</w:t>
      </w:r>
    </w:p>
    <w:p w14:paraId="073F3D49">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1.区委宣传部：</w:t>
      </w:r>
      <w:r>
        <w:rPr>
          <w:rFonts w:hint="eastAsia" w:ascii="仿宋" w:hAnsi="仿宋" w:eastAsia="仿宋" w:cs="仿宋"/>
          <w:lang w:eastAsia="zh-CN"/>
        </w:rPr>
        <w:t>负责养老机构突发事件应急救援的新闻发布、媒体报道、舆论引导等工作。</w:t>
      </w:r>
    </w:p>
    <w:p w14:paraId="56274147">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2.区财政局：</w:t>
      </w:r>
      <w:r>
        <w:rPr>
          <w:rFonts w:hint="eastAsia" w:ascii="仿宋" w:hAnsi="仿宋" w:eastAsia="仿宋" w:cs="仿宋"/>
          <w:lang w:eastAsia="zh-CN"/>
        </w:rPr>
        <w:t>负责及时启用财政预算费，保障养老机构突发事件应急救援所需经费。</w:t>
      </w:r>
    </w:p>
    <w:p w14:paraId="3B001C95">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3.区住建局：</w:t>
      </w:r>
      <w:r>
        <w:rPr>
          <w:rFonts w:hint="eastAsia" w:ascii="仿宋" w:hAnsi="仿宋" w:eastAsia="仿宋" w:cs="仿宋"/>
          <w:lang w:eastAsia="zh-CN"/>
        </w:rPr>
        <w:t>负责协调供气、供水、供热单位，保障养老机构的供需要求。</w:t>
      </w:r>
    </w:p>
    <w:p w14:paraId="7897D139">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4.区城管局：</w:t>
      </w:r>
      <w:r>
        <w:rPr>
          <w:rFonts w:hint="eastAsia" w:ascii="仿宋" w:hAnsi="仿宋" w:eastAsia="仿宋" w:cs="仿宋"/>
          <w:lang w:eastAsia="zh-CN"/>
        </w:rPr>
        <w:t>负责恶劣天气、重大节日、重要活动期间，城市管理相关的安全保障工作，配合有关部门做好应急抢险工作。</w:t>
      </w:r>
    </w:p>
    <w:p w14:paraId="73427609">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5.区卫健局：</w:t>
      </w:r>
      <w:r>
        <w:rPr>
          <w:rFonts w:hint="eastAsia" w:ascii="仿宋" w:hAnsi="仿宋" w:eastAsia="仿宋" w:cs="仿宋"/>
          <w:lang w:eastAsia="zh-CN"/>
        </w:rPr>
        <w:t>负责组织、协调养老机构突发事件的应急医疗救治和卫生防疫工作，及时抢救受伤人员，预防和控制疫情、疾病传播。</w:t>
      </w:r>
    </w:p>
    <w:p w14:paraId="57B71AB3">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6.区应急局：</w:t>
      </w:r>
      <w:r>
        <w:rPr>
          <w:rFonts w:hint="eastAsia" w:ascii="仿宋" w:hAnsi="仿宋" w:eastAsia="仿宋" w:cs="仿宋"/>
          <w:lang w:eastAsia="zh-CN"/>
        </w:rPr>
        <w:t>负责参与协调事故应急处置工作；负责救灾物资的收储、轮换、调拨和日常管理工作，及时予以补充和更新。按要求组织或参与涉及突发事件的调查处理。</w:t>
      </w:r>
    </w:p>
    <w:p w14:paraId="2688205E">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bookmarkStart w:id="41" w:name="bookmark53"/>
      <w:bookmarkEnd w:id="41"/>
      <w:r>
        <w:rPr>
          <w:rFonts w:hint="eastAsia" w:ascii="仿宋" w:hAnsi="仿宋" w:eastAsia="仿宋" w:cs="仿宋"/>
          <w:b/>
          <w:bCs/>
          <w:lang w:eastAsia="zh-CN"/>
        </w:rPr>
        <w:t>7.区市场局：</w:t>
      </w:r>
      <w:r>
        <w:rPr>
          <w:rFonts w:hint="eastAsia" w:ascii="仿宋" w:hAnsi="仿宋" w:eastAsia="仿宋" w:cs="仿宋"/>
          <w:lang w:eastAsia="zh-CN"/>
        </w:rPr>
        <w:t>负责指导、协助食品、药品突发事件的应急工作；参与事故调查及危害评估等应急处置工作。</w:t>
      </w:r>
    </w:p>
    <w:p w14:paraId="513FA2F4">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8.向阳公安分局：</w:t>
      </w:r>
      <w:r>
        <w:rPr>
          <w:rFonts w:hint="eastAsia" w:ascii="仿宋" w:hAnsi="仿宋" w:eastAsia="仿宋" w:cs="仿宋"/>
          <w:lang w:eastAsia="zh-CN"/>
        </w:rPr>
        <w:t>负责养老机构突发事件现场的治安、警戒、交通管制等工作；指导、协助民政部门做好事故的调查、现场稳定等应急处置工作；对涉嫌犯罪的，依法立案侦查，查清事实，追究刑事责任。</w:t>
      </w:r>
    </w:p>
    <w:p w14:paraId="10A0F4FF">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9.区消防救援大队：</w:t>
      </w:r>
      <w:r>
        <w:rPr>
          <w:rFonts w:hint="eastAsia" w:ascii="仿宋" w:hAnsi="仿宋" w:eastAsia="仿宋" w:cs="仿宋"/>
          <w:lang w:eastAsia="zh-CN"/>
        </w:rPr>
        <w:t>根据突发事件应急处置工作的需要及事发养老机构的请求，参与火灾等现场事故的应急救援工作。</w:t>
      </w:r>
    </w:p>
    <w:p w14:paraId="09E389FF">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10.其他单位：</w:t>
      </w:r>
      <w:r>
        <w:rPr>
          <w:rFonts w:hint="eastAsia" w:ascii="仿宋" w:hAnsi="仿宋" w:eastAsia="仿宋" w:cs="仿宋"/>
          <w:lang w:eastAsia="zh-CN"/>
        </w:rPr>
        <w:t>按照应急指挥部的要求参加应急救援工作。</w:t>
      </w:r>
    </w:p>
    <w:p w14:paraId="7931A751">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lang w:eastAsia="zh-CN"/>
        </w:rPr>
      </w:pPr>
      <w:bookmarkStart w:id="42" w:name="bookmark11"/>
      <w:bookmarkEnd w:id="42"/>
      <w:bookmarkStart w:id="43" w:name="_Toc15374"/>
      <w:bookmarkStart w:id="44" w:name="_Toc14867"/>
      <w:r>
        <w:rPr>
          <w:rFonts w:hint="eastAsia" w:ascii="楷体" w:hAnsi="楷体" w:eastAsia="楷体" w:cs="楷体"/>
          <w:b w:val="0"/>
          <w:bCs/>
          <w:lang w:eastAsia="zh-CN"/>
        </w:rPr>
        <w:t>（四）现场指挥机构及各工作小组</w:t>
      </w:r>
      <w:bookmarkEnd w:id="43"/>
      <w:bookmarkEnd w:id="44"/>
    </w:p>
    <w:p w14:paraId="00ECCAA9">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突发事件发生后，区政府将根据需要成立现场应急处置指挥部，组织、指挥、协调突发事件现场应急处置工作。成员由区相关部门负责同志和灾害所在地街道办事处（村屯）负责同志组成。</w:t>
      </w:r>
    </w:p>
    <w:p w14:paraId="17276F2B">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现场指挥部可根据需要设立综合协调、环境监测、抢险救援、安保维稳、医疗卫生、善后处置、信息发布及新闻宣传、基础设施保障和生产恢复、专家支持、调查评估等工作组。参与突发事件现场处置的各方面应急力量要及时向现场指挥部报到、受领任务，接受现场指挥部的统一指挥调度，并及时报告现场情况和处置工作进展情况。</w:t>
      </w:r>
    </w:p>
    <w:p w14:paraId="5EE079D2">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lang w:eastAsia="zh-CN"/>
        </w:rPr>
        <w:t>综合协调组：</w:t>
      </w:r>
      <w:r>
        <w:rPr>
          <w:rFonts w:hint="eastAsia" w:ascii="仿宋" w:hAnsi="仿宋" w:eastAsia="仿宋" w:cs="仿宋"/>
          <w:lang w:eastAsia="zh-CN"/>
        </w:rPr>
        <w:t>由区民政局牵头，配合指挥部做好分管的各项工作，并组织相关部门完成指挥部布置的各项抢险救灾任务。</w:t>
      </w:r>
    </w:p>
    <w:p w14:paraId="64AE5147">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2.安保维稳组：</w:t>
      </w:r>
      <w:r>
        <w:rPr>
          <w:rFonts w:hint="eastAsia" w:ascii="仿宋" w:hAnsi="仿宋" w:eastAsia="仿宋" w:cs="仿宋"/>
          <w:lang w:eastAsia="zh-CN"/>
        </w:rPr>
        <w:t>由向阳公安分局牵头，负责事故现场的治安警戒保卫工作，根据需要实施一定范围的交通管制，组织有关部门做好维护社会稳定工作等。</w:t>
      </w:r>
    </w:p>
    <w:p w14:paraId="0E710D2D">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3.医疗救护组：</w:t>
      </w:r>
      <w:r>
        <w:rPr>
          <w:rFonts w:hint="eastAsia" w:ascii="仿宋" w:hAnsi="仿宋" w:eastAsia="仿宋" w:cs="仿宋"/>
          <w:lang w:eastAsia="zh-CN"/>
        </w:rPr>
        <w:t>由区卫健局牵头，负责紧急救治受伤和中毒人员，必要时将伤员送往医院做进一步治疗。同时负责调集应急救援所需药品、医疗器械，统计伤亡人员情况等。</w:t>
      </w:r>
    </w:p>
    <w:p w14:paraId="22133EE8">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4.环境监测组：</w:t>
      </w:r>
      <w:r>
        <w:rPr>
          <w:rFonts w:hint="eastAsia" w:ascii="仿宋" w:hAnsi="仿宋" w:eastAsia="仿宋" w:cs="仿宋"/>
          <w:b w:val="0"/>
          <w:bCs w:val="0"/>
          <w:lang w:val="en-US" w:eastAsia="zh-CN"/>
        </w:rPr>
        <w:t>由</w:t>
      </w:r>
      <w:r>
        <w:rPr>
          <w:rFonts w:hint="eastAsia" w:ascii="仿宋" w:hAnsi="仿宋" w:eastAsia="仿宋" w:cs="仿宋"/>
          <w:b w:val="0"/>
          <w:bCs w:val="0"/>
          <w:lang w:eastAsia="zh-CN"/>
        </w:rPr>
        <w:t>向阳</w:t>
      </w:r>
      <w:r>
        <w:rPr>
          <w:rFonts w:hint="eastAsia" w:ascii="仿宋" w:hAnsi="仿宋" w:eastAsia="仿宋" w:cs="仿宋"/>
          <w:lang w:eastAsia="zh-CN"/>
        </w:rPr>
        <w:t>生态</w:t>
      </w:r>
      <w:r>
        <w:rPr>
          <w:rFonts w:hint="eastAsia" w:ascii="仿宋" w:hAnsi="仿宋" w:eastAsia="仿宋" w:cs="仿宋"/>
          <w:lang w:val="en-US" w:eastAsia="zh-CN"/>
        </w:rPr>
        <w:t>环境</w:t>
      </w:r>
      <w:r>
        <w:rPr>
          <w:rFonts w:hint="eastAsia" w:ascii="仿宋" w:hAnsi="仿宋" w:eastAsia="仿宋" w:cs="仿宋"/>
          <w:lang w:eastAsia="zh-CN"/>
        </w:rPr>
        <w:t>局牵头，主要负责监督管理污染物、污染源的监测、防治工作，确定事故危害区域，并通报危害程度和范围，对环境污染事故进行深入细致地调查处理，防止污染源进一步扩大。</w:t>
      </w:r>
    </w:p>
    <w:p w14:paraId="57610FAA">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5.抢险救援组：</w:t>
      </w:r>
      <w:r>
        <w:rPr>
          <w:rFonts w:hint="eastAsia" w:ascii="仿宋" w:hAnsi="仿宋" w:eastAsia="仿宋" w:cs="仿宋"/>
          <w:lang w:eastAsia="zh-CN"/>
        </w:rPr>
        <w:t>由区消防救援大队牵头，主要负责事故抢险。</w:t>
      </w:r>
    </w:p>
    <w:p w14:paraId="41A2CE3D">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6.应急保障组：</w:t>
      </w:r>
      <w:r>
        <w:rPr>
          <w:rFonts w:hint="eastAsia" w:ascii="仿宋" w:hAnsi="仿宋" w:eastAsia="仿宋" w:cs="仿宋"/>
          <w:lang w:eastAsia="zh-CN"/>
        </w:rPr>
        <w:t>由区应急局牵头，区住建局、区城管局、区发改局、区市场局、区财政局等部门组成，提供物资、经费、交通、电力、通讯等保障。</w:t>
      </w:r>
    </w:p>
    <w:p w14:paraId="1DCEE011">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7.信息发布及新闻宣传组：</w:t>
      </w:r>
      <w:r>
        <w:rPr>
          <w:rFonts w:hint="eastAsia" w:ascii="仿宋" w:hAnsi="仿宋" w:eastAsia="仿宋" w:cs="仿宋"/>
          <w:lang w:eastAsia="zh-CN"/>
        </w:rPr>
        <w:t>由区委宣传部牵头，负责联络新闻媒体，协调指导主管部门和其他有关单位统一发布有关信息，确保新闻报道的客观真实，并配合发布和宣传疏散路线，稳定民心。</w:t>
      </w:r>
    </w:p>
    <w:p w14:paraId="2476A0DA">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8.善后处理组：</w:t>
      </w:r>
      <w:r>
        <w:rPr>
          <w:rFonts w:hint="eastAsia" w:ascii="仿宋" w:hAnsi="仿宋" w:eastAsia="仿宋" w:cs="仿宋"/>
          <w:lang w:eastAsia="zh-CN"/>
        </w:rPr>
        <w:t>由</w:t>
      </w:r>
      <w:r>
        <w:rPr>
          <w:rFonts w:hint="eastAsia" w:ascii="仿宋" w:hAnsi="仿宋" w:eastAsia="仿宋" w:cs="仿宋"/>
          <w:lang w:val="en-US" w:eastAsia="zh-CN"/>
        </w:rPr>
        <w:t>区</w:t>
      </w:r>
      <w:r>
        <w:rPr>
          <w:rFonts w:hint="eastAsia" w:ascii="仿宋" w:hAnsi="仿宋" w:eastAsia="仿宋" w:cs="仿宋"/>
          <w:lang w:eastAsia="zh-CN"/>
        </w:rPr>
        <w:t>民政局牵头，属地街道办事处</w:t>
      </w:r>
      <w:r>
        <w:rPr>
          <w:rFonts w:hint="eastAsia" w:ascii="仿宋" w:hAnsi="仿宋" w:eastAsia="仿宋" w:cs="仿宋"/>
          <w:snapToGrid w:val="0"/>
          <w:color w:val="000000"/>
          <w:sz w:val="32"/>
          <w:szCs w:val="21"/>
          <w:lang w:val="en-US" w:eastAsia="zh-CN" w:bidi="ar-SA"/>
        </w:rPr>
        <w:t>（村屯）</w:t>
      </w:r>
      <w:r>
        <w:rPr>
          <w:rFonts w:hint="eastAsia" w:ascii="仿宋" w:hAnsi="仿宋" w:eastAsia="仿宋" w:cs="仿宋"/>
          <w:lang w:eastAsia="zh-CN"/>
        </w:rPr>
        <w:t>配合，主要负责事故所涉及的安置、抚恤、赔偿等前期和善后处理工作，做好有关登记和统计工作等。</w:t>
      </w:r>
    </w:p>
    <w:p w14:paraId="4FD5D03F">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9.基础设施保障和生产恢复组：</w:t>
      </w:r>
      <w:r>
        <w:rPr>
          <w:rFonts w:hint="eastAsia" w:ascii="仿宋" w:hAnsi="仿宋" w:eastAsia="仿宋" w:cs="仿宋"/>
          <w:lang w:eastAsia="zh-CN"/>
        </w:rPr>
        <w:t>由</w:t>
      </w:r>
      <w:r>
        <w:rPr>
          <w:rFonts w:hint="eastAsia" w:ascii="仿宋" w:hAnsi="仿宋" w:eastAsia="仿宋" w:cs="仿宋"/>
          <w:lang w:val="en-US" w:eastAsia="zh-CN"/>
        </w:rPr>
        <w:t>区</w:t>
      </w:r>
      <w:r>
        <w:rPr>
          <w:rFonts w:hint="eastAsia" w:ascii="仿宋" w:hAnsi="仿宋" w:eastAsia="仿宋" w:cs="仿宋"/>
          <w:lang w:eastAsia="zh-CN"/>
        </w:rPr>
        <w:t>民政局负责牵头，属地街道办事处</w:t>
      </w:r>
      <w:r>
        <w:rPr>
          <w:rFonts w:hint="eastAsia" w:ascii="仿宋" w:hAnsi="仿宋" w:eastAsia="仿宋" w:cs="仿宋"/>
          <w:snapToGrid w:val="0"/>
          <w:color w:val="000000"/>
          <w:sz w:val="32"/>
          <w:szCs w:val="21"/>
          <w:lang w:val="en-US" w:eastAsia="zh-CN" w:bidi="ar-SA"/>
        </w:rPr>
        <w:t>（村屯）</w:t>
      </w:r>
      <w:r>
        <w:rPr>
          <w:rFonts w:hint="eastAsia" w:ascii="仿宋" w:hAnsi="仿宋" w:eastAsia="仿宋" w:cs="仿宋"/>
          <w:lang w:eastAsia="zh-CN"/>
        </w:rPr>
        <w:t>配合，主要负责事故养老院的重建和恢复。</w:t>
      </w:r>
    </w:p>
    <w:p w14:paraId="1B98FF02">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10.专家组：</w:t>
      </w:r>
      <w:r>
        <w:rPr>
          <w:rFonts w:hint="eastAsia" w:ascii="仿宋" w:hAnsi="仿宋" w:eastAsia="仿宋" w:cs="仿宋"/>
          <w:lang w:eastAsia="zh-CN"/>
        </w:rPr>
        <w:t>由区民政局牵头，调集市、区专家库成员，作为指挥部的咨询机构。</w:t>
      </w:r>
      <w:bookmarkStart w:id="45" w:name="bookmark54"/>
      <w:bookmarkEnd w:id="45"/>
    </w:p>
    <w:p w14:paraId="577BA24D">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11.调查评估组：</w:t>
      </w:r>
      <w:r>
        <w:rPr>
          <w:rFonts w:hint="eastAsia" w:ascii="仿宋" w:hAnsi="仿宋" w:eastAsia="仿宋" w:cs="仿宋"/>
          <w:lang w:eastAsia="zh-CN"/>
        </w:rPr>
        <w:t>由区民政局、区应急局牵头，会同相关部门，调查事故发生原因，评估事故影响，尽快查明原因，作出调查结论，预测事故后果，提出事故防范意见。</w:t>
      </w:r>
    </w:p>
    <w:p w14:paraId="3D0E551D">
      <w:pPr>
        <w:pStyle w:val="2"/>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ascii="Times New Roman" w:hAnsi="Times New Roman" w:cs="Times New Roman"/>
          <w:lang w:eastAsia="zh-CN"/>
        </w:rPr>
      </w:pPr>
      <w:bookmarkStart w:id="46" w:name="_Toc3292"/>
      <w:bookmarkStart w:id="47" w:name="_Toc12071"/>
      <w:r>
        <w:rPr>
          <w:rFonts w:ascii="Times New Roman" w:hAnsi="Times New Roman" w:cs="Times New Roman"/>
          <w:lang w:eastAsia="zh-CN"/>
        </w:rPr>
        <w:t>三、风险管控</w:t>
      </w:r>
      <w:bookmarkEnd w:id="46"/>
      <w:bookmarkEnd w:id="47"/>
    </w:p>
    <w:p w14:paraId="69E41E03">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按照“安全第一、预防为主、综合治理”的安全生产方针，通过系统性地识别、评估、控制和监控养老机构存在的潜在风险，最大限度地降低突发事件发生的可能性及可能造成的损失，变被动应对为主动防范。</w:t>
      </w:r>
    </w:p>
    <w:p w14:paraId="6F60492E">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lang w:eastAsia="zh-CN"/>
        </w:rPr>
      </w:pPr>
      <w:bookmarkStart w:id="48" w:name="_Toc15221"/>
      <w:bookmarkStart w:id="49" w:name="_Toc27428"/>
      <w:r>
        <w:rPr>
          <w:rFonts w:hint="eastAsia" w:ascii="楷体" w:hAnsi="楷体" w:eastAsia="楷体" w:cs="楷体"/>
          <w:b w:val="0"/>
          <w:bCs/>
          <w:lang w:eastAsia="zh-CN"/>
        </w:rPr>
        <w:t>（一）风险识别与评估</w:t>
      </w:r>
      <w:bookmarkEnd w:id="48"/>
      <w:bookmarkEnd w:id="49"/>
    </w:p>
    <w:p w14:paraId="5BE45FB9">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color w:val="auto"/>
          <w:lang w:eastAsia="zh-CN"/>
        </w:rPr>
      </w:pPr>
      <w:r>
        <w:rPr>
          <w:rFonts w:hint="eastAsia" w:ascii="仿宋" w:hAnsi="仿宋" w:eastAsia="仿宋" w:cs="仿宋"/>
          <w:b/>
          <w:bCs/>
          <w:lang w:val="en-US" w:eastAsia="zh-CN"/>
        </w:rPr>
        <w:t>1.全面风险识别：</w:t>
      </w:r>
      <w:r>
        <w:rPr>
          <w:rFonts w:hint="eastAsia" w:ascii="仿宋" w:hAnsi="仿宋" w:eastAsia="仿宋" w:cs="仿宋"/>
          <w:color w:val="auto"/>
          <w:lang w:eastAsia="zh-CN"/>
        </w:rPr>
        <w:t>区政府组织应急指挥部、有关部门和街道办事处，依据本预案</w:t>
      </w:r>
      <w:r>
        <w:rPr>
          <w:rFonts w:hint="eastAsia" w:ascii="仿宋" w:hAnsi="仿宋" w:eastAsia="仿宋" w:cs="仿宋"/>
          <w:color w:val="auto"/>
          <w:lang w:val="en-US" w:eastAsia="zh-CN"/>
        </w:rPr>
        <w:t>总则部分</w:t>
      </w:r>
      <w:r>
        <w:rPr>
          <w:rFonts w:hint="eastAsia" w:ascii="仿宋" w:hAnsi="仿宋" w:eastAsia="仿宋" w:cs="仿宋"/>
          <w:color w:val="auto"/>
          <w:lang w:eastAsia="zh-CN"/>
        </w:rPr>
        <w:t>对自然灾害、事故灾难、公共卫生事件和社会安全事件的分析，结合养老人口、养老院建筑、地理、气候等特点，定期开展全面风险调查。</w:t>
      </w:r>
    </w:p>
    <w:p w14:paraId="63391957">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color w:val="auto"/>
          <w:lang w:eastAsia="zh-CN"/>
        </w:rPr>
      </w:pPr>
      <w:r>
        <w:rPr>
          <w:rFonts w:hint="eastAsia" w:ascii="仿宋" w:hAnsi="仿宋" w:eastAsia="仿宋" w:cs="仿宋"/>
          <w:b/>
          <w:bCs/>
          <w:lang w:val="en-US" w:eastAsia="zh-CN"/>
        </w:rPr>
        <w:t>2.识别范围：</w:t>
      </w:r>
      <w:r>
        <w:rPr>
          <w:rFonts w:hint="eastAsia" w:ascii="仿宋" w:hAnsi="仿宋" w:eastAsia="仿宋" w:cs="仿宋"/>
          <w:color w:val="auto"/>
          <w:lang w:eastAsia="zh-CN"/>
        </w:rPr>
        <w:t>覆盖全区所有养老院和社会生活环节。</w:t>
      </w:r>
    </w:p>
    <w:p w14:paraId="208E1658">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color w:val="auto"/>
          <w:lang w:eastAsia="zh-CN"/>
        </w:rPr>
      </w:pPr>
      <w:r>
        <w:rPr>
          <w:rFonts w:hint="eastAsia" w:ascii="仿宋" w:hAnsi="仿宋" w:eastAsia="仿宋" w:cs="仿宋"/>
          <w:b/>
          <w:bCs/>
          <w:lang w:val="en-US" w:eastAsia="zh-CN"/>
        </w:rPr>
        <w:t>3.识别方法：</w:t>
      </w:r>
      <w:r>
        <w:rPr>
          <w:rFonts w:hint="eastAsia" w:ascii="仿宋" w:hAnsi="仿宋" w:eastAsia="仿宋" w:cs="仿宋"/>
          <w:color w:val="auto"/>
          <w:lang w:eastAsia="zh-CN"/>
        </w:rPr>
        <w:t>综合运用隐患排查、专家检查、舆情分析、案例复盘、公众反映等多种方式，动态更新风险源信息。</w:t>
      </w:r>
    </w:p>
    <w:p w14:paraId="05FBEB7D">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color w:val="auto"/>
          <w:lang w:eastAsia="zh-CN"/>
        </w:rPr>
      </w:pPr>
      <w:r>
        <w:rPr>
          <w:rFonts w:hint="eastAsia" w:ascii="仿宋" w:hAnsi="仿宋" w:eastAsia="仿宋" w:cs="仿宋"/>
          <w:b/>
          <w:bCs/>
          <w:lang w:val="en-US" w:eastAsia="zh-CN"/>
        </w:rPr>
        <w:t>4.科学风险评估：</w:t>
      </w:r>
      <w:r>
        <w:rPr>
          <w:rFonts w:hint="eastAsia" w:ascii="仿宋" w:hAnsi="仿宋" w:eastAsia="仿宋" w:cs="仿宋"/>
          <w:color w:val="auto"/>
          <w:lang w:eastAsia="zh-CN"/>
        </w:rPr>
        <w:t>对识别出的风险进行分析评估，确定风险等级。</w:t>
      </w:r>
    </w:p>
    <w:p w14:paraId="2C85D2C2">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color w:val="auto"/>
          <w:lang w:eastAsia="zh-CN"/>
        </w:rPr>
      </w:pPr>
      <w:r>
        <w:rPr>
          <w:rFonts w:hint="eastAsia" w:ascii="仿宋" w:hAnsi="仿宋" w:eastAsia="仿宋" w:cs="仿宋"/>
          <w:b/>
          <w:bCs/>
          <w:lang w:val="en-US" w:eastAsia="zh-CN"/>
        </w:rPr>
        <w:t>5.评估标准：</w:t>
      </w:r>
      <w:r>
        <w:rPr>
          <w:rFonts w:hint="eastAsia" w:ascii="仿宋" w:hAnsi="仿宋" w:eastAsia="仿宋" w:cs="仿宋"/>
          <w:color w:val="auto"/>
          <w:lang w:eastAsia="zh-CN"/>
        </w:rPr>
        <w:t>采用定性与定量相结合的方法，从事件发生的可能性和后果的严重性两个维度，参照国家和行业标准，对风险进行综合研判。</w:t>
      </w:r>
    </w:p>
    <w:p w14:paraId="24F326BC">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color w:val="auto"/>
          <w:lang w:eastAsia="zh-CN"/>
        </w:rPr>
      </w:pPr>
      <w:r>
        <w:rPr>
          <w:rFonts w:hint="eastAsia" w:ascii="仿宋" w:hAnsi="仿宋" w:eastAsia="仿宋" w:cs="仿宋"/>
          <w:b/>
          <w:bCs/>
          <w:lang w:val="en-US" w:eastAsia="zh-CN"/>
        </w:rPr>
        <w:t>6.风险分级：</w:t>
      </w:r>
      <w:r>
        <w:rPr>
          <w:rFonts w:hint="eastAsia" w:ascii="仿宋" w:hAnsi="仿宋" w:eastAsia="仿宋" w:cs="仿宋"/>
          <w:color w:val="auto"/>
          <w:lang w:eastAsia="zh-CN"/>
        </w:rPr>
        <w:t>根据评估结果，将风险划分为重大风险、较大风险、一般风险和低风险四个等级，并建立《向阳区养老院安全风险分类分级清单》</w:t>
      </w:r>
      <w:r>
        <w:rPr>
          <w:rFonts w:hint="eastAsia"/>
          <w:color w:val="auto"/>
          <w:lang w:eastAsia="zh-CN"/>
        </w:rPr>
        <w:t>，</w:t>
      </w:r>
      <w:r>
        <w:rPr>
          <w:rFonts w:hint="eastAsia" w:ascii="仿宋" w:hAnsi="仿宋" w:eastAsia="仿宋" w:cs="仿宋"/>
          <w:sz w:val="32"/>
          <w:szCs w:val="32"/>
          <w:lang w:val="en-US" w:eastAsia="zh-CN" w:bidi="zh-CN"/>
        </w:rPr>
        <w:t>分类分级清单由行管部门填写，</w:t>
      </w:r>
      <w:r>
        <w:rPr>
          <w:rFonts w:hint="eastAsia" w:ascii="仿宋" w:hAnsi="仿宋" w:eastAsia="仿宋" w:cs="仿宋"/>
          <w:color w:val="auto"/>
          <w:lang w:eastAsia="zh-CN"/>
        </w:rPr>
        <w:t>作为精准施策的依据。</w:t>
      </w:r>
    </w:p>
    <w:p w14:paraId="1F21AE00">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lang w:eastAsia="zh-CN"/>
        </w:rPr>
      </w:pPr>
      <w:bookmarkStart w:id="50" w:name="_Toc21501"/>
      <w:bookmarkStart w:id="51" w:name="_Toc21376"/>
      <w:r>
        <w:rPr>
          <w:rFonts w:hint="eastAsia" w:ascii="楷体" w:hAnsi="楷体" w:eastAsia="楷体" w:cs="楷体"/>
          <w:b w:val="0"/>
          <w:bCs/>
          <w:lang w:eastAsia="zh-CN"/>
        </w:rPr>
        <w:t>（二）风险控制与治理</w:t>
      </w:r>
      <w:bookmarkEnd w:id="50"/>
      <w:bookmarkEnd w:id="51"/>
    </w:p>
    <w:p w14:paraId="6A1CF636">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根据风险评估结果，实行风险分级管控，采取以下针对性控制措施，优先级从高到低依次为：</w:t>
      </w:r>
    </w:p>
    <w:p w14:paraId="741E6901">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1.消除风险：</w:t>
      </w:r>
      <w:r>
        <w:rPr>
          <w:rFonts w:hint="eastAsia" w:ascii="仿宋" w:hAnsi="仿宋" w:eastAsia="仿宋" w:cs="仿宋"/>
          <w:lang w:eastAsia="zh-CN"/>
        </w:rPr>
        <w:t>优化城市规划布局和养老产业政策，从源头上消除重大风险。</w:t>
      </w:r>
    </w:p>
    <w:p w14:paraId="4DAF4113">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2.技术控制：</w:t>
      </w:r>
      <w:r>
        <w:rPr>
          <w:rFonts w:hint="eastAsia" w:ascii="仿宋" w:hAnsi="仿宋" w:eastAsia="仿宋" w:cs="仿宋"/>
          <w:lang w:eastAsia="zh-CN"/>
        </w:rPr>
        <w:t>在重点养老单位、重点场所和重要设施中，加强安全设施建设，如安装自动灭火系统、安全监控报警装置、抗震加固结构等，提升安全防护水平。</w:t>
      </w:r>
    </w:p>
    <w:p w14:paraId="57605D87">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3.管理控制：</w:t>
      </w:r>
      <w:r>
        <w:rPr>
          <w:rFonts w:hint="eastAsia" w:ascii="仿宋" w:hAnsi="仿宋" w:eastAsia="仿宋" w:cs="仿宋"/>
          <w:lang w:eastAsia="zh-CN"/>
        </w:rPr>
        <w:t>养老行业主管部门、养老单位应建立健全安全管理制度、操作规程和应急预案。</w:t>
      </w:r>
    </w:p>
    <w:p w14:paraId="26F0E5E7">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4.分级负责：</w:t>
      </w:r>
      <w:r>
        <w:rPr>
          <w:rFonts w:hint="eastAsia" w:ascii="仿宋" w:hAnsi="仿宋" w:eastAsia="仿宋" w:cs="仿宋"/>
          <w:lang w:eastAsia="zh-CN"/>
        </w:rPr>
        <w:t>落实行业监管责任</w:t>
      </w:r>
      <w:bookmarkStart w:id="184" w:name="_GoBack"/>
      <w:r>
        <w:rPr>
          <w:rFonts w:hint="eastAsia" w:ascii="仿宋" w:hAnsi="仿宋" w:eastAsia="仿宋" w:cs="仿宋"/>
          <w:color w:val="auto"/>
          <w:lang w:eastAsia="zh-CN"/>
        </w:rPr>
        <w:t>。养老重大风险由区政府和区行业主管部门重点管控；较大及一般风险由各街道</w:t>
      </w:r>
      <w:bookmarkEnd w:id="184"/>
      <w:r>
        <w:rPr>
          <w:rFonts w:hint="eastAsia" w:ascii="仿宋" w:hAnsi="仿宋" w:eastAsia="仿宋" w:cs="仿宋"/>
          <w:lang w:eastAsia="zh-CN"/>
        </w:rPr>
        <w:t>办事处和相关部门负责监管，养老单位落实主体责任，管控本单位风险。</w:t>
      </w:r>
    </w:p>
    <w:p w14:paraId="2065A6B7">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5.隐患排查：</w:t>
      </w:r>
      <w:r>
        <w:rPr>
          <w:rFonts w:hint="eastAsia" w:ascii="仿宋" w:hAnsi="仿宋" w:eastAsia="仿宋" w:cs="仿宋"/>
          <w:lang w:eastAsia="zh-CN"/>
        </w:rPr>
        <w:t>建立常态化隐患排查治理机制，对发现的隐患建立台账，明确责任，限期整改，实现闭环管理。</w:t>
      </w:r>
    </w:p>
    <w:p w14:paraId="76B97DB0">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6.应急准备：</w:t>
      </w:r>
      <w:r>
        <w:rPr>
          <w:rFonts w:hint="eastAsia" w:ascii="仿宋" w:hAnsi="仿宋" w:eastAsia="仿宋" w:cs="仿宋"/>
          <w:lang w:eastAsia="zh-CN"/>
        </w:rPr>
        <w:t>对于无法彻底消除的风险，通过编制应急预案、储备应急物资、加强应急演练、建设应急队伍等措施，做好应急准备，降低事件发生后的损失。</w:t>
      </w:r>
    </w:p>
    <w:p w14:paraId="4517C684">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7.宣传与培训：</w:t>
      </w:r>
      <w:r>
        <w:rPr>
          <w:rFonts w:hint="eastAsia" w:ascii="仿宋" w:hAnsi="仿宋" w:eastAsia="仿宋" w:cs="仿宋"/>
          <w:lang w:eastAsia="zh-CN"/>
        </w:rPr>
        <w:t>加强公共安全宣传教育，普及风险防范、避险逃生、自救互救知识和技能，提高全社会风险意识和应对能力。</w:t>
      </w:r>
    </w:p>
    <w:p w14:paraId="3C27A047">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lang w:eastAsia="zh-CN"/>
        </w:rPr>
      </w:pPr>
      <w:bookmarkStart w:id="52" w:name="_Toc4574"/>
      <w:bookmarkStart w:id="53" w:name="_Toc28896"/>
      <w:r>
        <w:rPr>
          <w:rFonts w:hint="eastAsia" w:ascii="楷体" w:hAnsi="楷体" w:eastAsia="楷体" w:cs="楷体"/>
          <w:b w:val="0"/>
          <w:bCs/>
          <w:lang w:eastAsia="zh-CN"/>
        </w:rPr>
        <w:t>（三）监控与更新</w:t>
      </w:r>
      <w:bookmarkEnd w:id="52"/>
      <w:bookmarkEnd w:id="53"/>
    </w:p>
    <w:p w14:paraId="6482CD29">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1.动态监测：</w:t>
      </w:r>
      <w:r>
        <w:rPr>
          <w:rFonts w:hint="eastAsia" w:ascii="仿宋" w:hAnsi="仿宋" w:eastAsia="仿宋" w:cs="仿宋"/>
          <w:lang w:eastAsia="zh-CN"/>
        </w:rPr>
        <w:t>利用物联网、大数据等现代信息技术，对养老重大风险和重点危险源进行动态监测和跟踪。各有关部门和街道办事处应定期对职责范围内的风险管控措施落实情况进行监督检查，并做好信息通报及情况反馈工作。</w:t>
      </w:r>
    </w:p>
    <w:p w14:paraId="4A055235">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val="en-US" w:eastAsia="zh-CN"/>
        </w:rPr>
        <w:t>2.定期评审：</w:t>
      </w:r>
      <w:r>
        <w:rPr>
          <w:rFonts w:hint="eastAsia" w:ascii="仿宋" w:hAnsi="仿宋" w:eastAsia="仿宋" w:cs="仿宋"/>
          <w:lang w:eastAsia="zh-CN"/>
        </w:rPr>
        <w:t>建立风险动态评估机制。区政府定期组织全区风险形势分析会商。当出现法律法规变化、产业结构升级、重要设施建设等情形时，应及时组织重新评估，更新风险清单与管控措施。</w:t>
      </w:r>
    </w:p>
    <w:p w14:paraId="492F8F2C">
      <w:pPr>
        <w:pStyle w:val="2"/>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ascii="Times New Roman" w:hAnsi="Times New Roman" w:cs="Times New Roman"/>
          <w:lang w:eastAsia="zh-CN"/>
        </w:rPr>
      </w:pPr>
      <w:bookmarkStart w:id="54" w:name="bookmark12"/>
      <w:bookmarkEnd w:id="54"/>
      <w:bookmarkStart w:id="55" w:name="_Toc21269"/>
      <w:bookmarkStart w:id="56" w:name="_Toc9343"/>
      <w:r>
        <w:rPr>
          <w:rFonts w:ascii="Times New Roman" w:hAnsi="Times New Roman" w:cs="Times New Roman"/>
          <w:lang w:eastAsia="zh-CN"/>
        </w:rPr>
        <w:t>四、监测预警</w:t>
      </w:r>
      <w:bookmarkEnd w:id="55"/>
      <w:bookmarkEnd w:id="56"/>
    </w:p>
    <w:p w14:paraId="4094759C">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lang w:eastAsia="zh-CN"/>
        </w:rPr>
      </w:pPr>
      <w:bookmarkStart w:id="57" w:name="_Toc1129"/>
      <w:bookmarkStart w:id="58" w:name="_Toc8125"/>
      <w:r>
        <w:rPr>
          <w:rFonts w:hint="eastAsia" w:ascii="楷体" w:hAnsi="楷体" w:eastAsia="楷体" w:cs="楷体"/>
          <w:b w:val="0"/>
          <w:bCs/>
          <w:lang w:eastAsia="zh-CN"/>
        </w:rPr>
        <w:t>（一）预防工作</w:t>
      </w:r>
      <w:bookmarkEnd w:id="57"/>
      <w:bookmarkEnd w:id="58"/>
    </w:p>
    <w:p w14:paraId="1A70A75C">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区民政局各有关职能科室会同相关部门（包括局内其他科室），根据天气情况、隐患排查、风险管控等相关职能部门发布的预测预警及检查自查情况，对可能具有较高程度安全风险的情况，向有关科室及养老机构提出风险警示信息和监管建议。其他成员单位发现安全隐患或问题，应及时通报给各对口职能科室，以便依法及时采取有效控制措施。</w:t>
      </w:r>
    </w:p>
    <w:p w14:paraId="6ED1250C">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lang w:eastAsia="zh-CN"/>
        </w:rPr>
      </w:pPr>
      <w:bookmarkStart w:id="59" w:name="_Toc5065"/>
      <w:bookmarkStart w:id="60" w:name="_Toc3283"/>
      <w:r>
        <w:rPr>
          <w:rFonts w:hint="eastAsia" w:ascii="楷体" w:hAnsi="楷体" w:eastAsia="楷体" w:cs="楷体"/>
          <w:b w:val="0"/>
          <w:bCs/>
          <w:lang w:eastAsia="zh-CN"/>
        </w:rPr>
        <w:t>（二）预警与报警</w:t>
      </w:r>
      <w:bookmarkEnd w:id="59"/>
      <w:bookmarkEnd w:id="60"/>
    </w:p>
    <w:p w14:paraId="68873924">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1.建立健全突发事件预警制度。区民政局负责养老机构突发事件预警工作。</w:t>
      </w:r>
    </w:p>
    <w:p w14:paraId="14ACCB64">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2.确定预警级别。对可以预警的突发事件，区民政局收集到可能发生的征兆信息后，组织进行评估，研判突发事件发生的可能性、强度和影响范围以及可能发生的次生、衍生突发事件类别，确定预警级别。按照突发事件发生的紧急程度、发展势态和可能造成的危害程度，预警级别由高到低分别用红色（I级）、橙色（Ⅱ级）、黄色（Ⅲ级）和蓝色（Ⅳ级）表示：</w:t>
      </w:r>
    </w:p>
    <w:p w14:paraId="44037373">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红色预警（I级）：</w:t>
      </w:r>
      <w:r>
        <w:rPr>
          <w:rFonts w:hint="eastAsia" w:ascii="仿宋" w:hAnsi="仿宋" w:eastAsia="仿宋" w:cs="仿宋"/>
          <w:lang w:eastAsia="zh-CN"/>
        </w:rPr>
        <w:t>预计将要发生特别重大以上突发事件，事件会随时发生，事态可能会扩大。</w:t>
      </w:r>
      <w:bookmarkStart w:id="61" w:name="bookmark55"/>
      <w:bookmarkEnd w:id="61"/>
    </w:p>
    <w:p w14:paraId="5370DE7D">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橙色预警（Ⅱ级）：</w:t>
      </w:r>
      <w:r>
        <w:rPr>
          <w:rFonts w:hint="eastAsia" w:ascii="仿宋" w:hAnsi="仿宋" w:eastAsia="仿宋" w:cs="仿宋"/>
          <w:lang w:eastAsia="zh-CN"/>
        </w:rPr>
        <w:t>预计将要发生重大以上突发事件，事件即将发生，事态可能会扩大。</w:t>
      </w:r>
    </w:p>
    <w:p w14:paraId="2C1447D7">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黄色预警（Ⅲ级）：</w:t>
      </w:r>
      <w:r>
        <w:rPr>
          <w:rFonts w:hint="eastAsia" w:ascii="仿宋" w:hAnsi="仿宋" w:eastAsia="仿宋" w:cs="仿宋"/>
          <w:lang w:eastAsia="zh-CN"/>
        </w:rPr>
        <w:t>预计将要发生较大以上突发事件，事件即将临近，事态可能会扩大。</w:t>
      </w:r>
    </w:p>
    <w:p w14:paraId="2114C233">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蓝色预警（Ⅳ级）：</w:t>
      </w:r>
      <w:r>
        <w:rPr>
          <w:rFonts w:hint="eastAsia" w:ascii="仿宋" w:hAnsi="仿宋" w:eastAsia="仿宋" w:cs="仿宋"/>
          <w:lang w:eastAsia="zh-CN"/>
        </w:rPr>
        <w:t>预计将要发生一般以上突发事件，事件即将临近，事态可能会扩大。</w:t>
      </w:r>
    </w:p>
    <w:p w14:paraId="346ACFC2">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lang w:eastAsia="zh-CN"/>
        </w:rPr>
      </w:pPr>
      <w:bookmarkStart w:id="62" w:name="bookmark15"/>
      <w:bookmarkEnd w:id="62"/>
      <w:bookmarkStart w:id="63" w:name="_Toc148"/>
      <w:bookmarkStart w:id="64" w:name="_Toc14849"/>
      <w:r>
        <w:rPr>
          <w:rFonts w:hint="eastAsia" w:ascii="楷体" w:hAnsi="楷体" w:eastAsia="楷体" w:cs="楷体"/>
          <w:b w:val="0"/>
          <w:bCs/>
          <w:lang w:eastAsia="zh-CN"/>
        </w:rPr>
        <w:t>（三）预警信息发布</w:t>
      </w:r>
      <w:bookmarkEnd w:id="63"/>
      <w:bookmarkEnd w:id="64"/>
    </w:p>
    <w:p w14:paraId="00B105EB">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红色预警（I级）和橙色预警（Ⅱ级）报省人民政府后，由省政府或其委托的部门发布；黄色预警（Ⅲ级）由市政府或其委托的部门发布；蓝色预警（Ⅳ级）由区政府或其委托的部门发布。</w:t>
      </w:r>
    </w:p>
    <w:p w14:paraId="223CC3F1">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发布的预警信息包括突发事件的类别、预警级别、起始时间、可能影响范围、警示事项、应采取的措施和发布机关等。</w:t>
      </w:r>
    </w:p>
    <w:p w14:paraId="1035B78B">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预警信息的发布、调整和解除可通过广播、电视、报刊、通信</w:t>
      </w:r>
      <w:r>
        <w:rPr>
          <w:rFonts w:hint="eastAsia" w:ascii="仿宋" w:hAnsi="仿宋" w:eastAsia="仿宋" w:cs="仿宋"/>
          <w:lang w:val="en-US" w:eastAsia="zh-CN"/>
        </w:rPr>
        <w:t>终端</w:t>
      </w:r>
      <w:r>
        <w:rPr>
          <w:rFonts w:hint="eastAsia" w:ascii="仿宋" w:hAnsi="仿宋" w:eastAsia="仿宋" w:cs="仿宋"/>
          <w:lang w:eastAsia="zh-CN"/>
        </w:rPr>
        <w:t>、网络、警报器、宣传车或组织人员逐户通知等方式进行。</w:t>
      </w:r>
    </w:p>
    <w:p w14:paraId="77CEF6F1">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65" w:name="bookmark16"/>
      <w:bookmarkEnd w:id="65"/>
      <w:bookmarkStart w:id="66" w:name="_Toc20222"/>
      <w:bookmarkStart w:id="67" w:name="_Toc11767"/>
      <w:r>
        <w:rPr>
          <w:rFonts w:hint="eastAsia" w:ascii="楷体" w:hAnsi="楷体" w:eastAsia="楷体" w:cs="楷体"/>
          <w:b w:val="0"/>
          <w:bCs w:val="0"/>
          <w:snapToGrid/>
          <w:sz w:val="32"/>
          <w:szCs w:val="32"/>
          <w:lang w:val="zh-CN" w:eastAsia="zh-CN" w:bidi="zh-CN"/>
        </w:rPr>
        <w:t>（四）预警措施</w:t>
      </w:r>
      <w:bookmarkEnd w:id="66"/>
      <w:bookmarkEnd w:id="67"/>
    </w:p>
    <w:p w14:paraId="59E480E2">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发布预警信息后，区民政局、相关街道办事处</w:t>
      </w:r>
      <w:r>
        <w:rPr>
          <w:rFonts w:hint="eastAsia" w:ascii="仿宋" w:hAnsi="仿宋" w:eastAsia="仿宋" w:cs="仿宋"/>
          <w:snapToGrid w:val="0"/>
          <w:color w:val="000000"/>
          <w:sz w:val="32"/>
          <w:szCs w:val="21"/>
          <w:lang w:val="en-US" w:eastAsia="zh-CN" w:bidi="ar-SA"/>
        </w:rPr>
        <w:t>（村屯）</w:t>
      </w:r>
      <w:r>
        <w:rPr>
          <w:rFonts w:hint="eastAsia" w:ascii="仿宋" w:hAnsi="仿宋" w:eastAsia="仿宋" w:cs="仿宋"/>
          <w:lang w:eastAsia="zh-CN"/>
        </w:rPr>
        <w:t>按照预警级别、实际情况和分级负责的原则，迅速采取下列一项或多项措施：</w:t>
      </w:r>
    </w:p>
    <w:p w14:paraId="2E3153F7">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1.增加观测频次，加强预报，畅通信息接收渠道，及时收报有关信息；</w:t>
      </w:r>
    </w:p>
    <w:p w14:paraId="356EF9DB">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2.加强公众沟通，向养老机构发布有关采取特定措施避免或减轻危害的建议、劝告等；</w:t>
      </w:r>
    </w:p>
    <w:p w14:paraId="7D741933">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3.组织应急救援队伍和负有特定职责的人员进入待命状态，动</w:t>
      </w:r>
      <w:bookmarkStart w:id="68" w:name="bookmark56"/>
      <w:bookmarkEnd w:id="68"/>
      <w:r>
        <w:rPr>
          <w:rFonts w:hint="eastAsia" w:ascii="仿宋" w:hAnsi="仿宋" w:eastAsia="仿宋" w:cs="仿宋"/>
          <w:lang w:eastAsia="zh-CN"/>
        </w:rPr>
        <w:t>员后备人员做好参加应急救援和处置工作的准备；</w:t>
      </w:r>
    </w:p>
    <w:p w14:paraId="69F7C724">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4.调集应急救援和处置所需物资、设备、工具，准备应急设施和避难场所，并确保其处于良好状态、随时可以投入使用；</w:t>
      </w:r>
    </w:p>
    <w:p w14:paraId="619F959B">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5.转移、疏散或者撤离易受突发事件危害的人员并予以妥善安置，转移重要财产；</w:t>
      </w:r>
    </w:p>
    <w:p w14:paraId="423B39DE">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6.加强养老机构的安全保卫，维护社会治安秩序；</w:t>
      </w:r>
    </w:p>
    <w:p w14:paraId="7527DC53">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7.采取必要措施，确保交通、通信、供水、排水、供电、供气、供热等公共设施的安全和正常运行。</w:t>
      </w:r>
    </w:p>
    <w:p w14:paraId="48F4B21E">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69" w:name="bookmark17"/>
      <w:bookmarkEnd w:id="69"/>
      <w:bookmarkStart w:id="70" w:name="_Toc7878"/>
      <w:bookmarkStart w:id="71" w:name="_Toc11021"/>
      <w:r>
        <w:rPr>
          <w:rFonts w:hint="eastAsia" w:ascii="楷体" w:hAnsi="楷体" w:eastAsia="楷体" w:cs="楷体"/>
          <w:b w:val="0"/>
          <w:bCs w:val="0"/>
          <w:snapToGrid/>
          <w:sz w:val="32"/>
          <w:szCs w:val="32"/>
          <w:lang w:val="zh-CN" w:eastAsia="zh-CN" w:bidi="zh-CN"/>
        </w:rPr>
        <w:t>（五）调整、解除警报</w:t>
      </w:r>
      <w:bookmarkEnd w:id="70"/>
      <w:bookmarkEnd w:id="71"/>
    </w:p>
    <w:p w14:paraId="6E61FCF7">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发布预警信息的有关部门和单位应加强对预警信息动态管理，根据事态发展变化，适时调整预警级别、更新预警信息内容，并重新报告、通报和发布有关情况。有事实证明不可能发生突发事件或者危险已经解除的，发布预警信息的区政府、有关部门和单位应当及时宣布解除警报，终止预警期，并解除已经采取的有关措施。</w:t>
      </w:r>
    </w:p>
    <w:p w14:paraId="4032884A">
      <w:pPr>
        <w:pStyle w:val="2"/>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ascii="Times New Roman" w:hAnsi="Times New Roman" w:cs="Times New Roman"/>
          <w:lang w:eastAsia="zh-CN"/>
        </w:rPr>
      </w:pPr>
      <w:bookmarkStart w:id="72" w:name="bookmark18"/>
      <w:bookmarkEnd w:id="72"/>
      <w:bookmarkStart w:id="73" w:name="_Toc28673"/>
      <w:bookmarkStart w:id="74" w:name="_Toc26784"/>
      <w:r>
        <w:rPr>
          <w:rFonts w:ascii="Times New Roman" w:hAnsi="Times New Roman" w:cs="Times New Roman"/>
          <w:lang w:eastAsia="zh-CN"/>
        </w:rPr>
        <w:t>五、信息报告</w:t>
      </w:r>
      <w:bookmarkEnd w:id="73"/>
      <w:bookmarkEnd w:id="74"/>
    </w:p>
    <w:p w14:paraId="6DA362C2">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75" w:name="bookmark19"/>
      <w:bookmarkEnd w:id="75"/>
      <w:bookmarkStart w:id="76" w:name="_Toc22320"/>
      <w:bookmarkStart w:id="77" w:name="_Toc24747"/>
      <w:r>
        <w:rPr>
          <w:rFonts w:hint="eastAsia" w:ascii="楷体" w:hAnsi="楷体" w:eastAsia="楷体" w:cs="楷体"/>
          <w:b w:val="0"/>
          <w:bCs w:val="0"/>
          <w:snapToGrid/>
          <w:sz w:val="32"/>
          <w:szCs w:val="32"/>
          <w:lang w:val="zh-CN" w:eastAsia="zh-CN" w:bidi="zh-CN"/>
        </w:rPr>
        <w:t>（一）报告程序和时限</w:t>
      </w:r>
      <w:bookmarkEnd w:id="76"/>
      <w:bookmarkEnd w:id="77"/>
    </w:p>
    <w:p w14:paraId="3010B18D">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养老机构突发事件发生时，相关街道办事处</w:t>
      </w:r>
      <w:r>
        <w:rPr>
          <w:rFonts w:hint="eastAsia" w:ascii="仿宋" w:hAnsi="仿宋" w:eastAsia="仿宋" w:cs="仿宋"/>
          <w:snapToGrid w:val="0"/>
          <w:color w:val="000000"/>
          <w:sz w:val="32"/>
          <w:szCs w:val="21"/>
          <w:lang w:val="en-US" w:eastAsia="zh-CN" w:bidi="ar-SA"/>
        </w:rPr>
        <w:t>（村屯）</w:t>
      </w:r>
      <w:r>
        <w:rPr>
          <w:rFonts w:hint="eastAsia" w:ascii="仿宋" w:hAnsi="仿宋" w:eastAsia="仿宋" w:cs="仿宋"/>
          <w:lang w:eastAsia="zh-CN"/>
        </w:rPr>
        <w:t>要立即如实向区民政局报告。任何部门、单位或公民一旦发现养老机构突发事件后，应当立即报告向阳区养老机构突发事件应急指挥部。</w:t>
      </w:r>
    </w:p>
    <w:p w14:paraId="0B78387B">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接到报告后，应急指挥部办公室值班人员应当如实、准确做好记录，包括时间、地点、起因、现状等，并予以核实，对事故的性质和</w:t>
      </w:r>
      <w:bookmarkStart w:id="78" w:name="bookmark57"/>
      <w:bookmarkEnd w:id="78"/>
      <w:r>
        <w:rPr>
          <w:rFonts w:hint="eastAsia" w:ascii="仿宋" w:hAnsi="仿宋" w:eastAsia="仿宋" w:cs="仿宋"/>
          <w:lang w:eastAsia="zh-CN"/>
        </w:rPr>
        <w:t>类别做出初步认定。</w:t>
      </w:r>
    </w:p>
    <w:p w14:paraId="1E1B7A63">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应急指挥部办公室接报后，立即报告应急指挥部，并提出实施预警和启动应急预案的建议，应急指挥部确认后，采取预警措施，通知各应急工作组开展工作。</w:t>
      </w:r>
    </w:p>
    <w:p w14:paraId="1F32E82E">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相关街道办事处</w:t>
      </w:r>
      <w:r>
        <w:rPr>
          <w:rFonts w:hint="eastAsia" w:ascii="仿宋" w:hAnsi="仿宋" w:eastAsia="仿宋" w:cs="仿宋"/>
          <w:snapToGrid w:val="0"/>
          <w:color w:val="000000"/>
          <w:sz w:val="32"/>
          <w:szCs w:val="21"/>
          <w:lang w:val="en-US" w:eastAsia="zh-CN" w:bidi="ar-SA"/>
        </w:rPr>
        <w:t>（村屯）</w:t>
      </w:r>
      <w:r>
        <w:rPr>
          <w:rFonts w:hint="eastAsia" w:ascii="仿宋" w:hAnsi="仿宋" w:eastAsia="仿宋" w:cs="仿宋"/>
          <w:lang w:eastAsia="zh-CN"/>
        </w:rPr>
        <w:t>接到报告后30分钟内向区政府报告，抄送区应急指挥部办公室。</w:t>
      </w:r>
    </w:p>
    <w:p w14:paraId="7F01F9BC">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79" w:name="bookmark20"/>
      <w:bookmarkEnd w:id="79"/>
      <w:bookmarkStart w:id="80" w:name="_Toc31536"/>
      <w:bookmarkStart w:id="81" w:name="_Toc14449"/>
      <w:r>
        <w:rPr>
          <w:rFonts w:hint="eastAsia" w:ascii="楷体" w:hAnsi="楷体" w:eastAsia="楷体" w:cs="楷体"/>
          <w:b w:val="0"/>
          <w:bCs w:val="0"/>
          <w:snapToGrid/>
          <w:sz w:val="32"/>
          <w:szCs w:val="32"/>
          <w:lang w:val="zh-CN" w:eastAsia="zh-CN" w:bidi="zh-CN"/>
        </w:rPr>
        <w:t>（二）报告方式与报告内容</w:t>
      </w:r>
      <w:bookmarkEnd w:id="80"/>
      <w:bookmarkEnd w:id="81"/>
    </w:p>
    <w:p w14:paraId="09D69703">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报告应采用书面形式，如情况紧急，可采用先电话报告、后书面补报的方式。</w:t>
      </w:r>
    </w:p>
    <w:p w14:paraId="086C0F5B">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报告应涵盖下列内容：</w:t>
      </w:r>
    </w:p>
    <w:p w14:paraId="3495D18D">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1.发生事故的时间、地点、信息来源、事故性质，简要经过，事故原因的初步判断；</w:t>
      </w:r>
    </w:p>
    <w:p w14:paraId="7294F09A">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2.事故造成的危害程度，影响范围，伤亡人数，事故发展趋势；</w:t>
      </w:r>
    </w:p>
    <w:p w14:paraId="56DF30BD">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3.事故发生后采取的应急处理措施及事故控制情况；</w:t>
      </w:r>
    </w:p>
    <w:p w14:paraId="4B5DB8F9">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4.需要有关部门和单位协助抢救和处理的相关事宜及其他需上报的事项；</w:t>
      </w:r>
    </w:p>
    <w:p w14:paraId="658DFB07">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5.事故报告单位负责人签字或加盖单位印章、报告时间。</w:t>
      </w:r>
    </w:p>
    <w:p w14:paraId="12E41BD4">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_GB2312" w:hAnsi="仿宋_GB2312" w:eastAsia="仿宋_GB2312" w:cs="仿宋_GB2312"/>
          <w:lang w:eastAsia="zh-CN"/>
        </w:rPr>
      </w:pPr>
      <w:r>
        <w:rPr>
          <w:rFonts w:hint="eastAsia" w:ascii="仿宋" w:hAnsi="仿宋" w:eastAsia="仿宋" w:cs="仿宋"/>
          <w:lang w:eastAsia="zh-CN"/>
        </w:rPr>
        <w:t>6.应急处理过程中，要及时续报有关情况。</w:t>
      </w:r>
    </w:p>
    <w:p w14:paraId="540C5727">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82" w:name="bookmark21"/>
      <w:bookmarkEnd w:id="82"/>
      <w:bookmarkStart w:id="83" w:name="_Toc20342"/>
      <w:bookmarkStart w:id="84" w:name="_Toc28507"/>
      <w:r>
        <w:rPr>
          <w:rFonts w:hint="eastAsia" w:ascii="楷体" w:hAnsi="楷体" w:eastAsia="楷体" w:cs="楷体"/>
          <w:b w:val="0"/>
          <w:bCs w:val="0"/>
          <w:snapToGrid/>
          <w:sz w:val="32"/>
          <w:szCs w:val="32"/>
          <w:lang w:val="zh-CN" w:eastAsia="zh-CN" w:bidi="zh-CN"/>
        </w:rPr>
        <w:t>（三）先期处置</w:t>
      </w:r>
      <w:bookmarkEnd w:id="83"/>
      <w:bookmarkEnd w:id="84"/>
    </w:p>
    <w:p w14:paraId="7878436A">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养老机构突发事件发生后，现场应急处置指挥部成立前，事发单位要在事发地街道办事处</w:t>
      </w:r>
      <w:r>
        <w:rPr>
          <w:rFonts w:hint="eastAsia" w:ascii="仿宋" w:hAnsi="仿宋" w:eastAsia="仿宋" w:cs="仿宋"/>
          <w:snapToGrid w:val="0"/>
          <w:color w:val="000000"/>
          <w:sz w:val="32"/>
          <w:szCs w:val="21"/>
          <w:lang w:val="en-US" w:eastAsia="zh-CN" w:bidi="ar-SA"/>
        </w:rPr>
        <w:t>（村屯）</w:t>
      </w:r>
      <w:r>
        <w:rPr>
          <w:rFonts w:hint="eastAsia" w:ascii="仿宋" w:hAnsi="仿宋" w:eastAsia="仿宋" w:cs="仿宋"/>
          <w:lang w:eastAsia="zh-CN"/>
        </w:rPr>
        <w:t>的统一指挥下，按照有关预案迅速实施先期处置，立即采取措施控制事态发展，严防次生、衍生事故发生。同时，要按规定程序向上级有关部门报告情况。</w:t>
      </w:r>
    </w:p>
    <w:p w14:paraId="38BF27F4">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85" w:name="bookmark58"/>
      <w:bookmarkEnd w:id="85"/>
      <w:bookmarkStart w:id="86" w:name="bookmark22"/>
      <w:bookmarkEnd w:id="86"/>
      <w:bookmarkStart w:id="87" w:name="_Toc22042"/>
      <w:bookmarkStart w:id="88" w:name="_Toc27397"/>
      <w:r>
        <w:rPr>
          <w:rFonts w:hint="eastAsia" w:ascii="楷体" w:hAnsi="楷体" w:eastAsia="楷体" w:cs="楷体"/>
          <w:b w:val="0"/>
          <w:bCs w:val="0"/>
          <w:snapToGrid/>
          <w:sz w:val="32"/>
          <w:szCs w:val="32"/>
          <w:lang w:val="zh-CN" w:eastAsia="zh-CN" w:bidi="zh-CN"/>
        </w:rPr>
        <w:t>（四）应急响应</w:t>
      </w:r>
      <w:bookmarkEnd w:id="87"/>
      <w:bookmarkEnd w:id="88"/>
    </w:p>
    <w:p w14:paraId="186C8B98">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b/>
          <w:bCs/>
          <w:lang w:eastAsia="zh-CN"/>
        </w:rPr>
      </w:pPr>
      <w:r>
        <w:rPr>
          <w:rFonts w:hint="eastAsia" w:ascii="仿宋" w:hAnsi="仿宋" w:eastAsia="仿宋" w:cs="仿宋"/>
          <w:b/>
          <w:bCs/>
          <w:lang w:eastAsia="zh-CN"/>
        </w:rPr>
        <w:t>1.分级响应机制</w:t>
      </w:r>
    </w:p>
    <w:p w14:paraId="1733F26E">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特别重大事故（I级）、重大事故（Ⅱ级）响应与处置：发生特别重大、重大养老机构突发事件时，由市应急指挥部组织相关部门人员、装备，参与由省政府应急处置现场指挥部领导的应急处置工作，配合现场工作。</w:t>
      </w:r>
    </w:p>
    <w:p w14:paraId="3EE81FE2">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较大事故（Ⅲ级）响应与处置：发生较大养老机构突发事件时，由市政府负责及时、果断处置，并接受省应急指挥部的指导。</w:t>
      </w:r>
    </w:p>
    <w:p w14:paraId="6A1BE43C">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一般事故（Ⅳ级）响应与处置：发生一般养老机构突发事件时，由区政府负责应急处置。</w:t>
      </w:r>
    </w:p>
    <w:p w14:paraId="4B0FC868">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b/>
          <w:bCs/>
          <w:lang w:eastAsia="zh-CN"/>
        </w:rPr>
      </w:pPr>
      <w:r>
        <w:rPr>
          <w:rFonts w:hint="eastAsia" w:ascii="仿宋" w:hAnsi="仿宋" w:eastAsia="仿宋" w:cs="仿宋"/>
          <w:b/>
          <w:bCs/>
          <w:lang w:eastAsia="zh-CN"/>
        </w:rPr>
        <w:t>2.应急响应程序</w:t>
      </w:r>
    </w:p>
    <w:p w14:paraId="37882C3A">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区民政局在接到报告后，应根据突发事故的状况，初步确定事故响应的级别，分别向区政府和市民政局，并启动相应的应急预案，应急指挥部办公室召集有关单位赶赴现场，根据现场状况采取有效措施，同时上报事故处置的最新进展情况。</w:t>
      </w:r>
    </w:p>
    <w:p w14:paraId="7E157CDE">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b/>
          <w:bCs/>
          <w:lang w:eastAsia="zh-CN"/>
        </w:rPr>
      </w:pPr>
      <w:r>
        <w:rPr>
          <w:rFonts w:hint="eastAsia" w:ascii="仿宋" w:hAnsi="仿宋" w:eastAsia="仿宋" w:cs="仿宋"/>
          <w:b/>
          <w:bCs/>
          <w:lang w:eastAsia="zh-CN"/>
        </w:rPr>
        <w:t>3.应急响应的主要工作内容</w:t>
      </w:r>
    </w:p>
    <w:p w14:paraId="19643BA6">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（1）组织协调有关部门负责人、专家和应急队伍参与应急救援；</w:t>
      </w:r>
    </w:p>
    <w:p w14:paraId="35511178">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（2）制定并组织实施抢险救援方案，防止发生次生、衍生事故；</w:t>
      </w:r>
    </w:p>
    <w:p w14:paraId="0217EAFC">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（3）协调有关部门提供应急保障，包括协调关系、调度各方应急资源等；</w:t>
      </w:r>
    </w:p>
    <w:p w14:paraId="6A9E7679">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（4）组织做好现场治安秩序维护和社会稳定工作；</w:t>
      </w:r>
    </w:p>
    <w:p w14:paraId="5C33F140">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（5）及时向区政府报告应急处置工作进展情况；</w:t>
      </w:r>
    </w:p>
    <w:p w14:paraId="4FBB074E">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（6）研究处理其他重大事项。</w:t>
      </w:r>
    </w:p>
    <w:p w14:paraId="55141A1F">
      <w:pPr>
        <w:pStyle w:val="2"/>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ascii="Times New Roman" w:hAnsi="Times New Roman" w:cs="Times New Roman"/>
          <w:lang w:eastAsia="zh-CN"/>
        </w:rPr>
      </w:pPr>
      <w:bookmarkStart w:id="89" w:name="_Toc930"/>
      <w:bookmarkStart w:id="90" w:name="_Toc27865"/>
      <w:r>
        <w:rPr>
          <w:rFonts w:ascii="Times New Roman" w:hAnsi="Times New Roman" w:cs="Times New Roman"/>
          <w:lang w:eastAsia="zh-CN"/>
        </w:rPr>
        <w:t>六、应急处置措施</w:t>
      </w:r>
      <w:bookmarkEnd w:id="89"/>
      <w:bookmarkEnd w:id="90"/>
    </w:p>
    <w:p w14:paraId="7F3AE87B">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91" w:name="bookmark23"/>
      <w:bookmarkEnd w:id="91"/>
      <w:bookmarkStart w:id="92" w:name="bookmark59"/>
      <w:bookmarkEnd w:id="92"/>
      <w:bookmarkStart w:id="93" w:name="_Toc16220"/>
      <w:bookmarkStart w:id="94" w:name="_Toc6815"/>
      <w:r>
        <w:rPr>
          <w:rFonts w:hint="eastAsia" w:ascii="楷体" w:hAnsi="楷体" w:eastAsia="楷体" w:cs="楷体"/>
          <w:b w:val="0"/>
          <w:bCs w:val="0"/>
          <w:snapToGrid/>
          <w:sz w:val="32"/>
          <w:szCs w:val="32"/>
          <w:lang w:val="zh-CN" w:eastAsia="zh-CN" w:bidi="zh-CN"/>
        </w:rPr>
        <w:t>（一）现场指挥与协调</w:t>
      </w:r>
      <w:bookmarkEnd w:id="93"/>
      <w:bookmarkEnd w:id="94"/>
    </w:p>
    <w:p w14:paraId="11F5B2FE">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b/>
          <w:bCs/>
          <w:lang w:eastAsia="zh-CN"/>
        </w:rPr>
      </w:pPr>
      <w:r>
        <w:rPr>
          <w:rFonts w:hint="eastAsia" w:ascii="仿宋" w:hAnsi="仿宋" w:eastAsia="仿宋" w:cs="仿宋"/>
          <w:b/>
          <w:bCs/>
          <w:lang w:eastAsia="zh-CN"/>
        </w:rPr>
        <w:t>1.指挥和协调机制</w:t>
      </w:r>
    </w:p>
    <w:p w14:paraId="19E07AF0">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现场应急处置指挥部根据养老机构突发事件的情况通知有关部门和单位后，各有关单位得到信息后应立即派出有关人员或队伍赶赴指定位置，在现场应急处置指挥部的统一指挥下，本着相互协同、密切配合、共同实施的原则，迅速完成指挥部交办的应急处置任务。</w:t>
      </w:r>
    </w:p>
    <w:p w14:paraId="53D919A9">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b/>
          <w:bCs/>
          <w:lang w:eastAsia="zh-CN"/>
        </w:rPr>
      </w:pPr>
      <w:r>
        <w:rPr>
          <w:rFonts w:hint="eastAsia" w:ascii="仿宋" w:hAnsi="仿宋" w:eastAsia="仿宋" w:cs="仿宋"/>
          <w:b/>
          <w:bCs/>
          <w:lang w:eastAsia="zh-CN"/>
        </w:rPr>
        <w:t>2.指挥协调的主要内容</w:t>
      </w:r>
    </w:p>
    <w:p w14:paraId="4ABA4561">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（1）通报事故情况，明确现场应急行动的总体原则和基本要求；</w:t>
      </w:r>
    </w:p>
    <w:p w14:paraId="67048409">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（2）指派有关人员参与应急指挥和指导工作；</w:t>
      </w:r>
    </w:p>
    <w:p w14:paraId="334A3964">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_GB2312" w:hAnsi="仿宋_GB2312" w:eastAsia="仿宋_GB2312" w:cs="仿宋_GB2312"/>
          <w:lang w:eastAsia="zh-CN"/>
        </w:rPr>
      </w:pPr>
      <w:r>
        <w:rPr>
          <w:rFonts w:hint="eastAsia" w:ascii="仿宋" w:hAnsi="仿宋" w:eastAsia="仿宋" w:cs="仿宋"/>
          <w:lang w:eastAsia="zh-CN"/>
        </w:rPr>
        <w:t>（3）协调各级、各专业应急救援力量实施应急救援行动等。</w:t>
      </w:r>
    </w:p>
    <w:p w14:paraId="41888F4A">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b/>
          <w:bCs/>
          <w:lang w:eastAsia="zh-CN"/>
        </w:rPr>
      </w:pPr>
      <w:r>
        <w:rPr>
          <w:rFonts w:hint="eastAsia" w:ascii="仿宋" w:hAnsi="仿宋" w:eastAsia="仿宋" w:cs="仿宋"/>
          <w:b/>
          <w:bCs/>
          <w:lang w:eastAsia="zh-CN"/>
        </w:rPr>
        <w:t>3.指挥与紧急处置</w:t>
      </w:r>
    </w:p>
    <w:p w14:paraId="2EEDDB2E">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出现急剧恶化的特殊险情时，现场应急处置指挥部可在充分考虑专家和有关方面意见的基础上，根据事态发展变化情况，依法采取紧急处置措施。</w:t>
      </w:r>
    </w:p>
    <w:p w14:paraId="75FE509E">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lang w:eastAsia="zh-CN"/>
        </w:rPr>
      </w:pPr>
      <w:bookmarkStart w:id="95" w:name="bookmark24"/>
      <w:bookmarkEnd w:id="95"/>
      <w:bookmarkStart w:id="96" w:name="_Toc23678"/>
      <w:bookmarkStart w:id="97" w:name="_Toc2840"/>
      <w:r>
        <w:rPr>
          <w:rFonts w:hint="eastAsia" w:ascii="楷体" w:hAnsi="楷体" w:eastAsia="楷体" w:cs="楷体"/>
          <w:b w:val="0"/>
          <w:bCs/>
          <w:lang w:eastAsia="zh-CN"/>
        </w:rPr>
        <w:t>（二）处置措施</w:t>
      </w:r>
      <w:bookmarkEnd w:id="96"/>
      <w:bookmarkEnd w:id="97"/>
    </w:p>
    <w:p w14:paraId="3867C698">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一般突发事件发生后，根据事故性质、特点和危害程度，指挥部要立即按照预案协调、组织有关部门，依照有关规定采取下列应急处置措施，以最大限度减轻事故危害：</w:t>
      </w:r>
    </w:p>
    <w:p w14:paraId="003A7F2D">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1.应急救援。</w:t>
      </w:r>
      <w:r>
        <w:rPr>
          <w:rFonts w:hint="eastAsia" w:ascii="仿宋" w:hAnsi="仿宋" w:eastAsia="仿宋" w:cs="仿宋"/>
          <w:lang w:eastAsia="zh-CN"/>
        </w:rPr>
        <w:t>应有效利用医疗资源，会同区卫健局，组织指导医疗机构救治因安全事故导致人身伤害的人员；</w:t>
      </w:r>
    </w:p>
    <w:p w14:paraId="5F2D9F89">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bookmarkStart w:id="98" w:name="bookmark60"/>
      <w:bookmarkEnd w:id="98"/>
      <w:r>
        <w:rPr>
          <w:rFonts w:hint="eastAsia" w:ascii="仿宋" w:hAnsi="仿宋" w:eastAsia="仿宋" w:cs="仿宋"/>
          <w:b/>
          <w:bCs/>
          <w:lang w:eastAsia="zh-CN"/>
        </w:rPr>
        <w:t>2.危害控制、抢险救灾。</w:t>
      </w:r>
      <w:r>
        <w:rPr>
          <w:rFonts w:hint="eastAsia" w:ascii="仿宋" w:hAnsi="仿宋" w:eastAsia="仿宋" w:cs="仿宋"/>
          <w:lang w:eastAsia="zh-CN"/>
        </w:rPr>
        <w:t>根据事故的性质及科室职责，会同指挥部相关成员单位，立即赶赴事故现场，组织、指导事发地街道</w:t>
      </w:r>
      <w:r>
        <w:rPr>
          <w:rFonts w:hint="eastAsia" w:ascii="仿宋" w:hAnsi="仿宋" w:eastAsia="仿宋" w:cs="仿宋"/>
          <w:snapToGrid w:val="0"/>
          <w:color w:val="000000"/>
          <w:sz w:val="32"/>
          <w:szCs w:val="21"/>
          <w:lang w:val="en-US" w:eastAsia="zh-CN" w:bidi="ar-SA"/>
        </w:rPr>
        <w:t>（村屯）</w:t>
      </w:r>
      <w:r>
        <w:rPr>
          <w:rFonts w:hint="eastAsia" w:ascii="仿宋" w:hAnsi="仿宋" w:eastAsia="仿宋" w:cs="仿宋"/>
          <w:lang w:eastAsia="zh-CN"/>
        </w:rPr>
        <w:t>、养老机构，开展应急处置，抢救伤员、保护财产，防止事故进一步扩大，将危害减小到最低程度；</w:t>
      </w:r>
    </w:p>
    <w:p w14:paraId="744E41D4">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3.事故调查。</w:t>
      </w:r>
      <w:r>
        <w:rPr>
          <w:rFonts w:hint="eastAsia" w:ascii="仿宋" w:hAnsi="仿宋" w:eastAsia="仿宋" w:cs="仿宋"/>
          <w:lang w:eastAsia="zh-CN"/>
        </w:rPr>
        <w:t>指挥部相关成员单位组织开展调查工作，尽快查找事故发生原因。对涉嫌犯罪的，公安机关及时介入，开展相关违法犯罪行为侦破工作；</w:t>
      </w:r>
    </w:p>
    <w:p w14:paraId="7940624A">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_GB2312" w:hAnsi="仿宋_GB2312" w:eastAsia="仿宋_GB2312" w:cs="仿宋_GB2312"/>
          <w:lang w:eastAsia="zh-CN"/>
        </w:rPr>
      </w:pPr>
      <w:r>
        <w:rPr>
          <w:rFonts w:hint="eastAsia" w:ascii="仿宋" w:hAnsi="仿宋" w:eastAsia="仿宋" w:cs="仿宋"/>
          <w:b/>
          <w:bCs/>
          <w:lang w:eastAsia="zh-CN"/>
        </w:rPr>
        <w:t>4.维护稳定。</w:t>
      </w:r>
      <w:r>
        <w:rPr>
          <w:rFonts w:hint="eastAsia" w:ascii="仿宋" w:hAnsi="仿宋" w:eastAsia="仿宋" w:cs="仿宋"/>
          <w:lang w:eastAsia="zh-CN"/>
        </w:rPr>
        <w:t>公安等部门及事发单位分管安全保卫的人员，加强治安管理，打击相关违法犯罪行为，做好矛盾纠纷化解和法律服务工作，维护涉事地区社会稳定。</w:t>
      </w:r>
    </w:p>
    <w:p w14:paraId="3607AFE3">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lang w:eastAsia="zh-CN"/>
        </w:rPr>
      </w:pPr>
      <w:bookmarkStart w:id="99" w:name="bookmark25"/>
      <w:bookmarkEnd w:id="99"/>
      <w:bookmarkStart w:id="100" w:name="_Toc31814"/>
      <w:bookmarkStart w:id="101" w:name="_Toc20877"/>
      <w:r>
        <w:rPr>
          <w:rFonts w:hint="eastAsia" w:ascii="楷体" w:hAnsi="楷体" w:eastAsia="楷体" w:cs="楷体"/>
          <w:b w:val="0"/>
          <w:bCs/>
          <w:lang w:eastAsia="zh-CN"/>
        </w:rPr>
        <w:t>（三）信息发布</w:t>
      </w:r>
      <w:bookmarkEnd w:id="100"/>
      <w:bookmarkEnd w:id="101"/>
    </w:p>
    <w:p w14:paraId="5FF36CCE">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1.养老机构突发事件的有关信息必须经区政府认定后，由区民政局和其他有关单位负责对外进行发布，必要时召开新闻发布会，争取社会的支持和理解。区委宣传部统筹做好信息发布的指导协调工作。</w:t>
      </w:r>
    </w:p>
    <w:p w14:paraId="18A216C5">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2.信息发布应及时、准确，有关部门不得随意或恶意传播与养老机构突发事件有关的信息。事故发生的第一时间要向社会发布简要信息，随后发布初步的核实情况、政府应对措施和公众防范措施等，并根据事故处置情况做好后续发布工作。</w:t>
      </w:r>
    </w:p>
    <w:p w14:paraId="1D5047AE">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3.信息可通过广播、电视、报纸和公告等方式进行发布。</w:t>
      </w:r>
    </w:p>
    <w:p w14:paraId="2BDA95F6">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102" w:name="bookmark26"/>
      <w:bookmarkEnd w:id="102"/>
      <w:bookmarkStart w:id="103" w:name="_Toc19970"/>
      <w:bookmarkStart w:id="104" w:name="_Toc22486"/>
      <w:r>
        <w:rPr>
          <w:rFonts w:hint="eastAsia" w:ascii="楷体" w:hAnsi="楷体" w:eastAsia="楷体" w:cs="楷体"/>
          <w:b w:val="0"/>
          <w:bCs w:val="0"/>
          <w:snapToGrid/>
          <w:sz w:val="32"/>
          <w:szCs w:val="32"/>
          <w:lang w:val="zh-CN" w:eastAsia="zh-CN" w:bidi="zh-CN"/>
        </w:rPr>
        <w:t>（四）响应级别调整及终止</w:t>
      </w:r>
      <w:bookmarkEnd w:id="103"/>
      <w:bookmarkEnd w:id="104"/>
    </w:p>
    <w:p w14:paraId="7BB7B73C">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结合实际情况和处置工作需要，根据评估结果及时调整应急响应级别，直至响应终止。</w:t>
      </w:r>
    </w:p>
    <w:p w14:paraId="51FD73D4">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b/>
          <w:bCs/>
          <w:lang w:eastAsia="zh-CN"/>
        </w:rPr>
      </w:pPr>
      <w:bookmarkStart w:id="105" w:name="bookmark61"/>
      <w:bookmarkEnd w:id="105"/>
      <w:r>
        <w:rPr>
          <w:rFonts w:hint="eastAsia" w:ascii="仿宋" w:hAnsi="仿宋" w:eastAsia="仿宋" w:cs="仿宋"/>
          <w:b/>
          <w:bCs/>
          <w:lang w:eastAsia="zh-CN"/>
        </w:rPr>
        <w:t>1.响应级别调整及终止条件</w:t>
      </w:r>
    </w:p>
    <w:p w14:paraId="03516FC0">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（1）级别提升。</w:t>
      </w:r>
      <w:r>
        <w:rPr>
          <w:rFonts w:hint="eastAsia" w:ascii="仿宋" w:hAnsi="仿宋" w:eastAsia="仿宋" w:cs="仿宋"/>
          <w:lang w:eastAsia="zh-CN"/>
        </w:rPr>
        <w:t>当事故进一步加重，影响和危害扩大，并有蔓延趋势，情况复杂难以控制时，应当及时提升响应级别到较大事故（Ⅲ级）、重大事故（Ⅱ级）或特别重大事故（Ⅰ级）。</w:t>
      </w:r>
    </w:p>
    <w:p w14:paraId="6638C328">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（2）级别降低。</w:t>
      </w:r>
      <w:r>
        <w:rPr>
          <w:rFonts w:hint="eastAsia" w:ascii="仿宋" w:hAnsi="仿宋" w:eastAsia="仿宋" w:cs="仿宋"/>
          <w:lang w:eastAsia="zh-CN"/>
        </w:rPr>
        <w:t>事故危害得到有效控制，且经研判认为事故危害降低到原级评估标准以下或无进一步扩散趋势的，可降低应急响应级别。</w:t>
      </w:r>
    </w:p>
    <w:p w14:paraId="2AA3CE65">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（3）响应终止。</w:t>
      </w:r>
      <w:r>
        <w:rPr>
          <w:rFonts w:hint="eastAsia" w:ascii="仿宋" w:hAnsi="仿宋" w:eastAsia="仿宋" w:cs="仿宋"/>
          <w:lang w:eastAsia="zh-CN"/>
        </w:rPr>
        <w:t>当安全事故得到控制，并达到以下两项条件，经分析评估认为可解除响应的，应当及时终止响应：</w:t>
      </w:r>
    </w:p>
    <w:p w14:paraId="6931C2A5">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①安全事故伤病员全部得到救治，病情稳定24小时以上；</w:t>
      </w:r>
    </w:p>
    <w:p w14:paraId="3505187F">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②事发现场、涉事人员得以有效控制，灾害险情得到有效遏制并符合相关标准，次生、衍生事故隐患消除。</w:t>
      </w:r>
    </w:p>
    <w:p w14:paraId="1F8990D6">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b/>
          <w:bCs/>
          <w:lang w:eastAsia="zh-CN"/>
        </w:rPr>
      </w:pPr>
      <w:r>
        <w:rPr>
          <w:rFonts w:hint="eastAsia" w:ascii="仿宋" w:hAnsi="仿宋" w:eastAsia="仿宋" w:cs="仿宋"/>
          <w:b/>
          <w:bCs/>
          <w:lang w:eastAsia="zh-CN"/>
        </w:rPr>
        <w:t>2.响应级别调整及终止程序</w:t>
      </w:r>
    </w:p>
    <w:p w14:paraId="7B862D44">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由专家组对事故进行分析评估论证。评估认为符合级别调整条件的，指挥部根据专家组意见提出调整应急响应级别建议，报区政府批准后实施。应急响应级别调整后，事故相关地街道、</w:t>
      </w:r>
      <w:r>
        <w:rPr>
          <w:rFonts w:hint="eastAsia" w:ascii="仿宋" w:hAnsi="仿宋" w:eastAsia="仿宋" w:cs="仿宋"/>
          <w:lang w:val="en-US" w:eastAsia="zh-CN"/>
        </w:rPr>
        <w:t>村屯</w:t>
      </w:r>
      <w:r>
        <w:rPr>
          <w:rFonts w:hint="eastAsia" w:ascii="仿宋" w:hAnsi="仿宋" w:eastAsia="仿宋" w:cs="仿宋"/>
          <w:lang w:eastAsia="zh-CN"/>
        </w:rPr>
        <w:t>应当结合调整后级别采取相应措施。评估认为符合响应终止条件时，指挥部提出终止响应的建议，报区政府批准后实施。</w:t>
      </w:r>
      <w:bookmarkStart w:id="106" w:name="bookmark27"/>
      <w:bookmarkEnd w:id="106"/>
    </w:p>
    <w:p w14:paraId="65838D80">
      <w:pPr>
        <w:pStyle w:val="2"/>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lang w:eastAsia="zh-CN"/>
        </w:rPr>
      </w:pPr>
      <w:bookmarkStart w:id="107" w:name="_Toc25307"/>
      <w:bookmarkStart w:id="108" w:name="_Toc29470"/>
      <w:r>
        <w:rPr>
          <w:rFonts w:hint="eastAsia"/>
          <w:lang w:eastAsia="zh-CN"/>
        </w:rPr>
        <w:t>七、现场管控</w:t>
      </w:r>
      <w:bookmarkEnd w:id="107"/>
      <w:bookmarkEnd w:id="108"/>
    </w:p>
    <w:p w14:paraId="02D854D3">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109" w:name="_Toc15183"/>
      <w:bookmarkStart w:id="110" w:name="_Toc22679"/>
      <w:r>
        <w:rPr>
          <w:rFonts w:hint="eastAsia" w:ascii="楷体" w:hAnsi="楷体" w:eastAsia="楷体" w:cs="楷体"/>
          <w:b w:val="0"/>
          <w:bCs w:val="0"/>
          <w:snapToGrid/>
          <w:sz w:val="32"/>
          <w:szCs w:val="32"/>
          <w:lang w:val="zh-CN" w:eastAsia="zh-CN" w:bidi="zh-CN"/>
        </w:rPr>
        <w:t>（一）现场控制措施</w:t>
      </w:r>
      <w:bookmarkEnd w:id="109"/>
      <w:bookmarkEnd w:id="110"/>
    </w:p>
    <w:p w14:paraId="403AD6A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现场控制遵循“生命至上、快速响应”原则，旨在隔离危险、疏散人员、稳定秩序。</w:t>
      </w:r>
    </w:p>
    <w:p w14:paraId="2C49A0C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napToGrid w:val="0"/>
          <w:color w:val="000000"/>
          <w:sz w:val="32"/>
          <w:szCs w:val="21"/>
          <w:lang w:val="en-US" w:eastAsia="zh-CN" w:bidi="ar-SA"/>
        </w:rPr>
      </w:pPr>
      <w:r>
        <w:rPr>
          <w:rFonts w:hint="eastAsia" w:ascii="仿宋" w:hAnsi="仿宋" w:eastAsia="仿宋" w:cs="仿宋"/>
          <w:b/>
          <w:bCs/>
          <w:snapToGrid w:val="0"/>
          <w:color w:val="000000"/>
          <w:sz w:val="32"/>
          <w:szCs w:val="21"/>
          <w:lang w:val="en-US" w:eastAsia="zh-CN" w:bidi="ar-SA"/>
        </w:rPr>
        <w:t>1.通用控制流程</w:t>
      </w:r>
    </w:p>
    <w:p w14:paraId="1FA90606">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snapToGrid w:val="0"/>
          <w:color w:val="000000"/>
          <w:sz w:val="32"/>
          <w:szCs w:val="21"/>
          <w:lang w:val="en-US" w:eastAsia="zh-CN" w:bidi="ar-SA"/>
        </w:rPr>
        <w:t>（1）隔离与警戒：</w:t>
      </w:r>
      <w:r>
        <w:rPr>
          <w:rFonts w:hint="eastAsia" w:ascii="仿宋" w:hAnsi="仿宋" w:eastAsia="仿宋" w:cs="仿宋"/>
          <w:lang w:eastAsia="zh-CN"/>
        </w:rPr>
        <w:t>第一发现人立即报警并初步处置（如断电、关阀）。应急队迅速设立警戒区，隔离危险源。</w:t>
      </w:r>
    </w:p>
    <w:p w14:paraId="3258DBF6">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snapToGrid w:val="0"/>
          <w:color w:val="000000"/>
          <w:sz w:val="32"/>
          <w:szCs w:val="21"/>
          <w:lang w:val="en-US" w:eastAsia="zh-CN" w:bidi="ar-SA"/>
        </w:rPr>
        <w:t>（2）疏散与清点：</w:t>
      </w:r>
      <w:r>
        <w:rPr>
          <w:rFonts w:hint="eastAsia" w:ascii="仿宋" w:hAnsi="仿宋" w:eastAsia="仿宋" w:cs="仿宋"/>
          <w:lang w:eastAsia="zh-CN"/>
        </w:rPr>
        <w:t>启动应急广播，组织疏散。员工按分工优先转移失能老人至安全集结点，并立即清点人数。</w:t>
      </w:r>
    </w:p>
    <w:p w14:paraId="15FB46A9">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_GB2312" w:hAnsi="仿宋_GB2312" w:eastAsia="仿宋_GB2312" w:cs="仿宋_GB2312"/>
          <w:lang w:eastAsia="zh-CN"/>
        </w:rPr>
      </w:pPr>
      <w:r>
        <w:rPr>
          <w:rFonts w:hint="eastAsia" w:ascii="仿宋" w:hAnsi="仿宋" w:eastAsia="仿宋" w:cs="仿宋"/>
          <w:b/>
          <w:bCs/>
          <w:snapToGrid w:val="0"/>
          <w:color w:val="000000"/>
          <w:sz w:val="32"/>
          <w:szCs w:val="21"/>
          <w:lang w:val="en-US" w:eastAsia="zh-CN" w:bidi="ar-SA"/>
        </w:rPr>
        <w:t>（3）秩序维护：</w:t>
      </w:r>
      <w:r>
        <w:rPr>
          <w:rFonts w:hint="eastAsia" w:ascii="仿宋" w:hAnsi="仿宋" w:eastAsia="仿宋" w:cs="仿宋"/>
          <w:lang w:eastAsia="zh-CN"/>
        </w:rPr>
        <w:t>保障救援通道畅通，管控人员进出，安抚老人情绪，防止次生事故。</w:t>
      </w:r>
    </w:p>
    <w:p w14:paraId="63D2702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napToGrid w:val="0"/>
          <w:color w:val="000000"/>
          <w:sz w:val="32"/>
          <w:szCs w:val="21"/>
          <w:lang w:val="en-US" w:eastAsia="zh-CN" w:bidi="ar-SA"/>
        </w:rPr>
      </w:pPr>
      <w:r>
        <w:rPr>
          <w:rFonts w:hint="eastAsia" w:ascii="仿宋" w:hAnsi="仿宋" w:eastAsia="仿宋" w:cs="仿宋"/>
          <w:b/>
          <w:bCs/>
          <w:snapToGrid w:val="0"/>
          <w:color w:val="000000"/>
          <w:sz w:val="32"/>
          <w:szCs w:val="21"/>
          <w:lang w:val="en-US" w:eastAsia="zh-CN" w:bidi="ar-SA"/>
        </w:rPr>
        <w:t>2.分项控制要点</w:t>
      </w:r>
    </w:p>
    <w:p w14:paraId="1B2548D5">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1</w:t>
      </w:r>
      <w:r>
        <w:rPr>
          <w:rFonts w:hint="eastAsia" w:ascii="仿宋" w:hAnsi="仿宋" w:eastAsia="仿宋" w:cs="仿宋"/>
          <w:b/>
          <w:bCs/>
          <w:lang w:eastAsia="zh-CN"/>
        </w:rPr>
        <w:t>）火灾：</w:t>
      </w:r>
      <w:r>
        <w:rPr>
          <w:rFonts w:hint="eastAsia" w:ascii="仿宋" w:hAnsi="仿宋" w:eastAsia="仿宋" w:cs="仿宋"/>
          <w:lang w:eastAsia="zh-CN"/>
        </w:rPr>
        <w:t>关防火门，湿毛巾捂口鼻低姿疏散，禁乘电梯。</w:t>
      </w:r>
    </w:p>
    <w:p w14:paraId="0067E3DB">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2</w:t>
      </w:r>
      <w:r>
        <w:rPr>
          <w:rFonts w:hint="eastAsia" w:ascii="仿宋" w:hAnsi="仿宋" w:eastAsia="仿宋" w:cs="仿宋"/>
          <w:b/>
          <w:bCs/>
          <w:lang w:eastAsia="zh-CN"/>
        </w:rPr>
        <w:t>）燃气泄漏：</w:t>
      </w:r>
      <w:r>
        <w:rPr>
          <w:rFonts w:hint="eastAsia" w:ascii="仿宋" w:hAnsi="仿宋" w:eastAsia="仿宋" w:cs="仿宋"/>
          <w:lang w:eastAsia="zh-CN"/>
        </w:rPr>
        <w:t>关总阀，开窗通风，禁用明火电器。</w:t>
      </w:r>
    </w:p>
    <w:p w14:paraId="2C9CFF2F">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3</w:t>
      </w:r>
      <w:r>
        <w:rPr>
          <w:rFonts w:hint="eastAsia" w:ascii="仿宋" w:hAnsi="仿宋" w:eastAsia="仿宋" w:cs="仿宋"/>
          <w:b/>
          <w:bCs/>
          <w:lang w:eastAsia="zh-CN"/>
        </w:rPr>
        <w:t>）食品安全事件：</w:t>
      </w:r>
      <w:r>
        <w:rPr>
          <w:rFonts w:hint="eastAsia" w:ascii="仿宋" w:hAnsi="仿宋" w:eastAsia="仿宋" w:cs="仿宋"/>
          <w:lang w:eastAsia="zh-CN"/>
        </w:rPr>
        <w:t>立即封存可疑食品、原料及样本，停止供餐。</w:t>
      </w:r>
    </w:p>
    <w:p w14:paraId="1DF67183">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4</w:t>
      </w:r>
      <w:r>
        <w:rPr>
          <w:rFonts w:hint="eastAsia" w:ascii="仿宋" w:hAnsi="仿宋" w:eastAsia="仿宋" w:cs="仿宋"/>
          <w:b/>
          <w:bCs/>
          <w:lang w:eastAsia="zh-CN"/>
        </w:rPr>
        <w:t>）传染病：</w:t>
      </w:r>
      <w:r>
        <w:rPr>
          <w:rFonts w:hint="eastAsia" w:ascii="仿宋" w:hAnsi="仿宋" w:eastAsia="仿宋" w:cs="仿宋"/>
          <w:lang w:eastAsia="zh-CN"/>
        </w:rPr>
        <w:t>立即隔离疑似病例，限制区域人员流动，做好防护消杀。</w:t>
      </w:r>
    </w:p>
    <w:p w14:paraId="126D82BD">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5</w:t>
      </w:r>
      <w:r>
        <w:rPr>
          <w:rFonts w:hint="eastAsia" w:ascii="仿宋" w:hAnsi="仿宋" w:eastAsia="仿宋" w:cs="仿宋"/>
          <w:b/>
          <w:bCs/>
          <w:lang w:eastAsia="zh-CN"/>
        </w:rPr>
        <w:t>）极端天气：</w:t>
      </w:r>
      <w:r>
        <w:rPr>
          <w:rFonts w:hint="eastAsia" w:ascii="仿宋" w:hAnsi="仿宋" w:eastAsia="仿宋" w:cs="仿宋"/>
          <w:lang w:eastAsia="zh-CN"/>
        </w:rPr>
        <w:t>将老人从危险区域转移至内部避难区，加固设施防坠。</w:t>
      </w:r>
    </w:p>
    <w:p w14:paraId="0E3D3F77">
      <w:pPr>
        <w:pStyle w:val="5"/>
        <w:keepNext w:val="0"/>
        <w:keepLines w:val="0"/>
        <w:pageBreakBefore w:val="0"/>
        <w:widowControl w:val="0"/>
        <w:kinsoku/>
        <w:wordWrap/>
        <w:overflowPunct/>
        <w:topLinePunct w:val="0"/>
        <w:autoSpaceDE w:val="0"/>
        <w:autoSpaceDN w:val="0"/>
        <w:bidi w:val="0"/>
        <w:adjustRightInd w:val="0"/>
        <w:snapToGrid w:val="0"/>
        <w:ind w:left="0" w:leftChars="0" w:firstLine="643" w:firstLineChars="200"/>
        <w:jc w:val="both"/>
        <w:textAlignment w:val="baseline"/>
        <w:rPr>
          <w:rFonts w:hint="eastAsia" w:ascii="仿宋" w:hAnsi="仿宋" w:eastAsia="仿宋" w:cs="仿宋"/>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6</w:t>
      </w:r>
      <w:r>
        <w:rPr>
          <w:rFonts w:hint="eastAsia" w:ascii="仿宋" w:hAnsi="仿宋" w:eastAsia="仿宋" w:cs="仿宋"/>
          <w:b/>
          <w:bCs/>
          <w:lang w:eastAsia="zh-CN"/>
        </w:rPr>
        <w:t>）人员走失：</w:t>
      </w:r>
      <w:r>
        <w:rPr>
          <w:rFonts w:hint="eastAsia" w:ascii="仿宋" w:hAnsi="仿宋" w:eastAsia="仿宋" w:cs="仿宋"/>
          <w:lang w:eastAsia="zh-CN"/>
        </w:rPr>
        <w:t>立即组织楼内及周边搜寻，调取监控追踪。</w:t>
      </w:r>
    </w:p>
    <w:p w14:paraId="5EB8718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3.基本要求</w:t>
      </w:r>
    </w:p>
    <w:p w14:paraId="64E90656">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处置人员须确保自身安全，做好防护。专人记录事件过程，并主动配合接替的专业救援力量。</w:t>
      </w:r>
    </w:p>
    <w:p w14:paraId="5AA50275">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111" w:name="bookmark28"/>
      <w:bookmarkEnd w:id="111"/>
      <w:bookmarkStart w:id="112" w:name="_Toc8636"/>
      <w:bookmarkStart w:id="113" w:name="_Toc26837"/>
      <w:r>
        <w:rPr>
          <w:rFonts w:hint="eastAsia" w:ascii="楷体" w:hAnsi="楷体" w:eastAsia="楷体" w:cs="楷体"/>
          <w:b w:val="0"/>
          <w:bCs w:val="0"/>
          <w:snapToGrid/>
          <w:sz w:val="32"/>
          <w:szCs w:val="32"/>
          <w:lang w:val="zh-CN" w:eastAsia="zh-CN" w:bidi="zh-CN"/>
        </w:rPr>
        <w:t>（二）善后处置</w:t>
      </w:r>
      <w:bookmarkEnd w:id="112"/>
      <w:bookmarkEnd w:id="113"/>
    </w:p>
    <w:p w14:paraId="075C2DF4">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突发事件的善后处置包括伤病人员的安置、补偿，死亡人员的家属安抚及补偿；征用物资及运输工具补偿；应急及医疗机构垫付费用、</w:t>
      </w:r>
      <w:bookmarkStart w:id="114" w:name="bookmark62"/>
      <w:bookmarkEnd w:id="114"/>
      <w:r>
        <w:rPr>
          <w:rFonts w:hint="eastAsia" w:ascii="仿宋" w:hAnsi="仿宋" w:eastAsia="仿宋" w:cs="仿宋"/>
          <w:lang w:eastAsia="zh-CN"/>
        </w:rPr>
        <w:t>事故受害者后续治疗费用的及时支付；污染物收集、清理与处理等。善后处置组会同事发地街道，积极稳妥、深入细致地做好善后处置工作，尽快妥善安置、慰问受害和受影响人员，消除事故影响恢复正常秩序。协调保险机构及时开展应急救援人员保险受理和受灾人员保险理赔工作。</w:t>
      </w:r>
    </w:p>
    <w:p w14:paraId="765BAF3F">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115" w:name="bookmark29"/>
      <w:bookmarkEnd w:id="115"/>
      <w:bookmarkStart w:id="116" w:name="_Toc4451"/>
      <w:bookmarkStart w:id="117" w:name="_Toc12725"/>
      <w:r>
        <w:rPr>
          <w:rFonts w:hint="eastAsia" w:ascii="楷体" w:hAnsi="楷体" w:eastAsia="楷体" w:cs="楷体"/>
          <w:b w:val="0"/>
          <w:bCs w:val="0"/>
          <w:snapToGrid/>
          <w:sz w:val="32"/>
          <w:szCs w:val="32"/>
          <w:lang w:val="zh-CN" w:eastAsia="zh-CN" w:bidi="zh-CN"/>
        </w:rPr>
        <w:t>（三）恢复重建</w:t>
      </w:r>
      <w:bookmarkEnd w:id="116"/>
      <w:bookmarkEnd w:id="117"/>
    </w:p>
    <w:p w14:paraId="365EFA46">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区民政局应当尽快协调配合区有关部门或组织修复被损坏的供水、排水、供电、</w:t>
      </w:r>
      <w:r>
        <w:rPr>
          <w:rFonts w:hint="eastAsia" w:ascii="仿宋" w:hAnsi="仿宋" w:eastAsia="仿宋" w:cs="仿宋"/>
          <w:lang w:val="en-US" w:eastAsia="zh-CN"/>
        </w:rPr>
        <w:t>供</w:t>
      </w:r>
      <w:r>
        <w:rPr>
          <w:rFonts w:hint="eastAsia" w:ascii="仿宋" w:hAnsi="仿宋" w:eastAsia="仿宋" w:cs="仿宋"/>
          <w:lang w:eastAsia="zh-CN"/>
        </w:rPr>
        <w:t>气、供热等公共设施，制定恢复重建和发展计划，有序开展恢复重建工作。</w:t>
      </w:r>
    </w:p>
    <w:p w14:paraId="74B428F7">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auto"/>
        <w:rPr>
          <w:rFonts w:hint="eastAsia" w:ascii="楷体" w:hAnsi="楷体" w:eastAsia="楷体" w:cs="楷体"/>
          <w:b w:val="0"/>
          <w:bCs w:val="0"/>
          <w:snapToGrid/>
          <w:sz w:val="32"/>
          <w:szCs w:val="32"/>
          <w:lang w:val="zh-CN" w:eastAsia="zh-CN" w:bidi="zh-CN"/>
        </w:rPr>
      </w:pPr>
      <w:bookmarkStart w:id="118" w:name="bookmark30"/>
      <w:bookmarkEnd w:id="118"/>
      <w:bookmarkStart w:id="119" w:name="_Toc31237"/>
      <w:bookmarkStart w:id="120" w:name="_Toc16448"/>
      <w:r>
        <w:rPr>
          <w:rFonts w:hint="eastAsia" w:ascii="楷体" w:hAnsi="楷体" w:eastAsia="楷体" w:cs="楷体"/>
          <w:b w:val="0"/>
          <w:bCs w:val="0"/>
          <w:snapToGrid/>
          <w:sz w:val="32"/>
          <w:szCs w:val="32"/>
          <w:lang w:val="zh-CN" w:eastAsia="zh-CN" w:bidi="zh-CN"/>
        </w:rPr>
        <w:t>（四）社会救助</w:t>
      </w:r>
      <w:bookmarkEnd w:id="119"/>
      <w:bookmarkEnd w:id="120"/>
    </w:p>
    <w:p w14:paraId="3E948E42">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区应急局负责统筹突发事件灾害救助工作，协调有关方面做好受灾群众的安置，并会同区发改局等部门及时组织救灾物资和生活必需品的调拨和发放，保障群众基本生活。</w:t>
      </w:r>
      <w:r>
        <w:rPr>
          <w:rFonts w:hint="eastAsia" w:ascii="仿宋" w:hAnsi="仿宋" w:eastAsia="仿宋" w:cs="仿宋"/>
          <w:lang w:val="en-US" w:eastAsia="zh-CN"/>
        </w:rPr>
        <w:t>区民政局</w:t>
      </w:r>
      <w:r>
        <w:rPr>
          <w:rFonts w:hint="eastAsia" w:ascii="仿宋" w:hAnsi="仿宋" w:eastAsia="仿宋" w:cs="仿宋"/>
          <w:lang w:eastAsia="zh-CN"/>
        </w:rPr>
        <w:t>、红十字会负责发动社会、个人和境外机构开展救灾捐赠活动，并按有关规定负责管理捐赠款物的接收、分配、运输、发放工作。司法部门组织法律援助机构和有关社会力量为突发事件涉及人员提供法律援助，保障其合法权益。工会、妇联等群团组织，协助区卫健局等有关部门开展心理咨询、抚慰等心理危机干预工作。</w:t>
      </w:r>
    </w:p>
    <w:p w14:paraId="64223DA3">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val="0"/>
          <w:lang w:eastAsia="zh-CN"/>
        </w:rPr>
      </w:pPr>
      <w:bookmarkStart w:id="121" w:name="bookmark31"/>
      <w:bookmarkEnd w:id="121"/>
      <w:bookmarkStart w:id="122" w:name="_Toc30767"/>
      <w:bookmarkStart w:id="123" w:name="_Toc5931"/>
      <w:r>
        <w:rPr>
          <w:rFonts w:hint="eastAsia" w:ascii="楷体" w:hAnsi="楷体" w:eastAsia="楷体" w:cs="楷体"/>
          <w:b w:val="0"/>
          <w:bCs w:val="0"/>
          <w:snapToGrid/>
          <w:sz w:val="32"/>
          <w:szCs w:val="32"/>
          <w:lang w:val="zh-CN" w:eastAsia="zh-CN" w:bidi="zh-CN"/>
        </w:rPr>
        <w:t>（五）调查评估</w:t>
      </w:r>
      <w:bookmarkEnd w:id="122"/>
      <w:bookmarkEnd w:id="123"/>
    </w:p>
    <w:p w14:paraId="10A370E2">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区民政局应当及时查明突发事件的发生经过和原因，对突发事件造成的损失进行评估，制定改进措施，并将调查与评估情况向区人民政府提出报告。</w:t>
      </w:r>
      <w:bookmarkStart w:id="124" w:name="bookmark37"/>
      <w:bookmarkEnd w:id="124"/>
      <w:bookmarkStart w:id="125" w:name="bookmark32"/>
      <w:bookmarkEnd w:id="125"/>
      <w:bookmarkStart w:id="126" w:name="bookmark63"/>
      <w:bookmarkEnd w:id="126"/>
    </w:p>
    <w:p w14:paraId="692E3955">
      <w:pPr>
        <w:pStyle w:val="2"/>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ascii="Times New Roman" w:hAnsi="Times New Roman" w:cs="Times New Roman"/>
          <w:lang w:eastAsia="zh-CN"/>
        </w:rPr>
      </w:pPr>
      <w:bookmarkStart w:id="127" w:name="_Toc4341"/>
      <w:bookmarkStart w:id="128" w:name="_Toc30900"/>
      <w:r>
        <w:rPr>
          <w:rFonts w:ascii="Times New Roman" w:hAnsi="Times New Roman" w:cs="Times New Roman"/>
          <w:lang w:eastAsia="zh-CN"/>
        </w:rPr>
        <w:t>八、队伍物资保障</w:t>
      </w:r>
      <w:bookmarkEnd w:id="127"/>
      <w:bookmarkEnd w:id="128"/>
    </w:p>
    <w:p w14:paraId="2D5A6AAA">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val="0"/>
          <w:snapToGrid/>
          <w:sz w:val="32"/>
          <w:szCs w:val="32"/>
          <w:lang w:val="zh-CN" w:eastAsia="zh-CN" w:bidi="zh-CN"/>
        </w:rPr>
      </w:pPr>
      <w:bookmarkStart w:id="129" w:name="bookmark33"/>
      <w:bookmarkEnd w:id="129"/>
      <w:bookmarkStart w:id="130" w:name="_Toc23691"/>
      <w:bookmarkStart w:id="131" w:name="_Toc21858"/>
      <w:r>
        <w:rPr>
          <w:rFonts w:hint="eastAsia" w:ascii="楷体" w:hAnsi="楷体" w:eastAsia="楷体" w:cs="楷体"/>
          <w:b w:val="0"/>
          <w:bCs w:val="0"/>
          <w:snapToGrid/>
          <w:sz w:val="32"/>
          <w:szCs w:val="32"/>
          <w:lang w:val="zh-CN" w:eastAsia="zh-CN" w:bidi="zh-CN"/>
        </w:rPr>
        <w:t>（一）应急机制保障</w:t>
      </w:r>
      <w:bookmarkEnd w:id="130"/>
      <w:bookmarkEnd w:id="131"/>
    </w:p>
    <w:p w14:paraId="00BACE1C">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本应急预案所涉及的成员单位、医疗机构、技术机构以及应急处置工作组应根据各自的工作职责和任务，建立单位或组织内部事故应急处置工作程序，与本预案进行衔接，保障各项应急工作有序、高效运行。</w:t>
      </w:r>
    </w:p>
    <w:p w14:paraId="1981AD30">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val="0"/>
          <w:snapToGrid/>
          <w:sz w:val="32"/>
          <w:szCs w:val="32"/>
          <w:lang w:val="zh-CN" w:eastAsia="zh-CN" w:bidi="zh-CN"/>
        </w:rPr>
      </w:pPr>
      <w:bookmarkStart w:id="132" w:name="bookmark34"/>
      <w:bookmarkEnd w:id="132"/>
      <w:bookmarkStart w:id="133" w:name="_Toc15744"/>
      <w:bookmarkStart w:id="134" w:name="_Toc10860"/>
      <w:r>
        <w:rPr>
          <w:rFonts w:hint="eastAsia" w:ascii="楷体" w:hAnsi="楷体" w:eastAsia="楷体" w:cs="楷体"/>
          <w:b w:val="0"/>
          <w:bCs w:val="0"/>
          <w:snapToGrid/>
          <w:sz w:val="32"/>
          <w:szCs w:val="32"/>
          <w:lang w:val="zh-CN" w:eastAsia="zh-CN" w:bidi="zh-CN"/>
        </w:rPr>
        <w:t>（二）信息保障</w:t>
      </w:r>
      <w:bookmarkEnd w:id="133"/>
      <w:bookmarkEnd w:id="134"/>
    </w:p>
    <w:p w14:paraId="1EDDD9F1">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szCs w:val="27"/>
          <w:lang w:eastAsia="zh-CN"/>
        </w:rPr>
      </w:pPr>
      <w:r>
        <w:rPr>
          <w:rFonts w:hint="eastAsia" w:ascii="仿宋" w:hAnsi="仿宋" w:eastAsia="仿宋" w:cs="仿宋"/>
          <w:lang w:eastAsia="zh-CN"/>
        </w:rPr>
        <w:t>各级有关部门要建立和完善应急指挥系统、应急处置联动系统和预警系统。配备必要的有线、无线通信器材，确保本预案启动时区应急指挥部和有关部门及现场各应急分队间的联络畅通。</w:t>
      </w:r>
    </w:p>
    <w:p w14:paraId="3FFEA6D0">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val="0"/>
          <w:snapToGrid/>
          <w:sz w:val="32"/>
          <w:szCs w:val="32"/>
          <w:lang w:val="zh-CN" w:eastAsia="zh-CN" w:bidi="zh-CN"/>
        </w:rPr>
      </w:pPr>
      <w:bookmarkStart w:id="135" w:name="bookmark35"/>
      <w:bookmarkEnd w:id="135"/>
      <w:bookmarkStart w:id="136" w:name="_Toc32548"/>
      <w:bookmarkStart w:id="137" w:name="_Toc23881"/>
      <w:r>
        <w:rPr>
          <w:rFonts w:hint="eastAsia" w:ascii="楷体" w:hAnsi="楷体" w:eastAsia="楷体" w:cs="楷体"/>
          <w:b w:val="0"/>
          <w:bCs w:val="0"/>
          <w:snapToGrid/>
          <w:sz w:val="32"/>
          <w:szCs w:val="32"/>
          <w:lang w:val="zh-CN" w:eastAsia="zh-CN" w:bidi="zh-CN"/>
        </w:rPr>
        <w:t>（三）队伍及装备保障</w:t>
      </w:r>
      <w:bookmarkEnd w:id="136"/>
      <w:bookmarkEnd w:id="137"/>
    </w:p>
    <w:p w14:paraId="45F0DE3B">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各应急处置机构应根据职责提供现场救援和工程抢险装备信息，并建立储备数据库以供随时调用。主要的应急力量包括：公安、消防、医疗救护、专家咨询等队伍。</w:t>
      </w:r>
    </w:p>
    <w:p w14:paraId="1D746B43">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val="0"/>
          <w:snapToGrid/>
          <w:sz w:val="32"/>
          <w:szCs w:val="32"/>
          <w:lang w:val="zh-CN" w:eastAsia="zh-CN" w:bidi="zh-CN"/>
        </w:rPr>
      </w:pPr>
      <w:bookmarkStart w:id="138" w:name="bookmark36"/>
      <w:bookmarkEnd w:id="138"/>
      <w:bookmarkStart w:id="139" w:name="_Toc11999"/>
      <w:bookmarkStart w:id="140" w:name="_Toc9201"/>
      <w:r>
        <w:rPr>
          <w:rFonts w:hint="eastAsia" w:ascii="楷体" w:hAnsi="楷体" w:eastAsia="楷体" w:cs="楷体"/>
          <w:b w:val="0"/>
          <w:bCs w:val="0"/>
          <w:snapToGrid/>
          <w:sz w:val="32"/>
          <w:szCs w:val="32"/>
          <w:lang w:val="zh-CN" w:eastAsia="zh-CN" w:bidi="zh-CN"/>
        </w:rPr>
        <w:t>（四）医疗卫生保障</w:t>
      </w:r>
      <w:bookmarkEnd w:id="139"/>
      <w:bookmarkEnd w:id="140"/>
    </w:p>
    <w:p w14:paraId="1643ABCE">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区卫健局负责救护保障工作，组织医疗救护队伍迅速进入救灾现场，对伤员进行应急救治和心理咨询，尽最大可能减少伤亡，消除恐惧心理。各急救医疗机构按照职责分工，负责做好院前急救工作，各级医院负责后续救治。</w:t>
      </w:r>
    </w:p>
    <w:p w14:paraId="3D22B5BC">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val="0"/>
          <w:snapToGrid/>
          <w:sz w:val="32"/>
          <w:szCs w:val="32"/>
          <w:lang w:val="zh-CN" w:eastAsia="zh-CN" w:bidi="zh-CN"/>
        </w:rPr>
      </w:pPr>
      <w:bookmarkStart w:id="141" w:name="_Toc4786"/>
      <w:bookmarkStart w:id="142" w:name="_Toc6953"/>
      <w:r>
        <w:rPr>
          <w:rFonts w:hint="eastAsia" w:ascii="楷体" w:hAnsi="楷体" w:eastAsia="楷体" w:cs="楷体"/>
          <w:b w:val="0"/>
          <w:bCs w:val="0"/>
          <w:snapToGrid/>
          <w:sz w:val="32"/>
          <w:szCs w:val="32"/>
          <w:lang w:val="zh-CN" w:eastAsia="zh-CN" w:bidi="zh-CN"/>
        </w:rPr>
        <w:t>（五）交通运输保障</w:t>
      </w:r>
      <w:bookmarkEnd w:id="141"/>
      <w:bookmarkEnd w:id="142"/>
    </w:p>
    <w:p w14:paraId="77A2B41A">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向阳</w:t>
      </w:r>
      <w:r>
        <w:rPr>
          <w:rFonts w:hint="eastAsia" w:ascii="仿宋" w:hAnsi="仿宋" w:eastAsia="仿宋" w:cs="仿宋"/>
          <w:lang w:val="en-US" w:eastAsia="zh-CN"/>
        </w:rPr>
        <w:t>交警大队</w:t>
      </w:r>
      <w:r>
        <w:rPr>
          <w:rFonts w:hint="eastAsia" w:ascii="仿宋" w:hAnsi="仿宋" w:eastAsia="仿宋" w:cs="仿宋"/>
          <w:lang w:eastAsia="zh-CN"/>
        </w:rPr>
        <w:t>负责协调紧急处置交通安全保障的组织与实施，依法实施道路交通管制。</w:t>
      </w:r>
      <w:bookmarkStart w:id="143" w:name="bookmark64"/>
      <w:bookmarkEnd w:id="143"/>
      <w:bookmarkStart w:id="144" w:name="bookmark38"/>
      <w:bookmarkEnd w:id="144"/>
    </w:p>
    <w:p w14:paraId="37E43C3C">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val="0"/>
          <w:snapToGrid/>
          <w:sz w:val="32"/>
          <w:szCs w:val="32"/>
          <w:lang w:val="zh-CN" w:eastAsia="zh-CN" w:bidi="zh-CN"/>
        </w:rPr>
      </w:pPr>
      <w:bookmarkStart w:id="145" w:name="_Toc6031"/>
      <w:bookmarkStart w:id="146" w:name="_Toc7415"/>
      <w:r>
        <w:rPr>
          <w:rFonts w:hint="eastAsia" w:ascii="楷体" w:hAnsi="楷体" w:eastAsia="楷体" w:cs="楷体"/>
          <w:b w:val="0"/>
          <w:bCs w:val="0"/>
          <w:snapToGrid/>
          <w:sz w:val="32"/>
          <w:szCs w:val="32"/>
          <w:lang w:val="zh-CN" w:eastAsia="zh-CN" w:bidi="zh-CN"/>
        </w:rPr>
        <w:t>（六）治安保障</w:t>
      </w:r>
      <w:bookmarkEnd w:id="145"/>
      <w:bookmarkEnd w:id="146"/>
    </w:p>
    <w:p w14:paraId="49E7AE20">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向阳公安分局负责应急处置过程中的治安保障，并负责相关保卫工作。事发地街道、</w:t>
      </w:r>
      <w:r>
        <w:rPr>
          <w:rFonts w:hint="eastAsia" w:ascii="仿宋" w:hAnsi="仿宋" w:eastAsia="仿宋" w:cs="仿宋"/>
          <w:lang w:val="en-US" w:eastAsia="zh-CN"/>
        </w:rPr>
        <w:t>村屯</w:t>
      </w:r>
      <w:r>
        <w:rPr>
          <w:rFonts w:hint="eastAsia" w:ascii="仿宋" w:hAnsi="仿宋" w:eastAsia="仿宋" w:cs="仿宋"/>
          <w:lang w:eastAsia="zh-CN"/>
        </w:rPr>
        <w:t>要积极发动和组织群众开展群防联防，协助公安部门做好治安保障工作。要迅速组织救灾现场治安警戒和管理，严惩趁火打劫和制造事端的犯罪行为，加强对重点地区、重点场所、重点人群、重要物资设备的防范保护。</w:t>
      </w:r>
    </w:p>
    <w:p w14:paraId="580FE3C8">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val="0"/>
          <w:snapToGrid/>
          <w:sz w:val="32"/>
          <w:szCs w:val="32"/>
          <w:lang w:val="zh-CN" w:eastAsia="zh-CN" w:bidi="zh-CN"/>
        </w:rPr>
      </w:pPr>
      <w:bookmarkStart w:id="147" w:name="bookmark39"/>
      <w:bookmarkEnd w:id="147"/>
      <w:bookmarkStart w:id="148" w:name="_Toc895"/>
      <w:bookmarkStart w:id="149" w:name="_Toc24192"/>
      <w:r>
        <w:rPr>
          <w:rFonts w:hint="eastAsia" w:ascii="楷体" w:hAnsi="楷体" w:eastAsia="楷体" w:cs="楷体"/>
          <w:b w:val="0"/>
          <w:bCs w:val="0"/>
          <w:snapToGrid/>
          <w:sz w:val="32"/>
          <w:szCs w:val="32"/>
          <w:lang w:val="zh-CN" w:eastAsia="zh-CN" w:bidi="zh-CN"/>
        </w:rPr>
        <w:t>（七）经费保障</w:t>
      </w:r>
      <w:bookmarkEnd w:id="148"/>
      <w:bookmarkEnd w:id="149"/>
    </w:p>
    <w:p w14:paraId="74A2478B">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对事故应急处置工作所必需的专项资金和有关救援物资储备资金，从政府预备费中列支，同时建立相关管理、监督和专用账户制度，对应急经费的申报、审批和使用情况按照有关规定进行严格的控制和管理，做到专款专用。</w:t>
      </w:r>
    </w:p>
    <w:p w14:paraId="109FA22D">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val="0"/>
          <w:snapToGrid/>
          <w:sz w:val="32"/>
          <w:szCs w:val="32"/>
          <w:lang w:val="zh-CN" w:eastAsia="zh-CN" w:bidi="zh-CN"/>
        </w:rPr>
      </w:pPr>
      <w:bookmarkStart w:id="150" w:name="bookmark40"/>
      <w:bookmarkEnd w:id="150"/>
      <w:bookmarkStart w:id="151" w:name="_Toc28022"/>
      <w:bookmarkStart w:id="152" w:name="_Toc3342"/>
      <w:r>
        <w:rPr>
          <w:rFonts w:hint="eastAsia" w:ascii="楷体" w:hAnsi="楷体" w:eastAsia="楷体" w:cs="楷体"/>
          <w:b w:val="0"/>
          <w:bCs w:val="0"/>
          <w:snapToGrid/>
          <w:sz w:val="32"/>
          <w:szCs w:val="32"/>
          <w:lang w:val="zh-CN" w:eastAsia="zh-CN" w:bidi="zh-CN"/>
        </w:rPr>
        <w:t>（八）技术储备与保障</w:t>
      </w:r>
      <w:bookmarkEnd w:id="151"/>
      <w:bookmarkEnd w:id="152"/>
    </w:p>
    <w:p w14:paraId="571D436E">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各级有关部门和单位要充分发挥职能作用，加强先进技术、装备、物资的储备研究工作，建立科学的应急指挥决策支持系统，实现信息综合集成、分析处理的智能化和数字化，确保在发生突发事件时能有效防范应对。</w:t>
      </w:r>
    </w:p>
    <w:p w14:paraId="18B0BDD0">
      <w:pPr>
        <w:pStyle w:val="2"/>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ascii="Times New Roman" w:hAnsi="Times New Roman" w:cs="Times New Roman"/>
          <w:lang w:eastAsia="zh-CN"/>
        </w:rPr>
      </w:pPr>
      <w:bookmarkStart w:id="153" w:name="bookmark41"/>
      <w:bookmarkEnd w:id="153"/>
      <w:bookmarkStart w:id="154" w:name="_Toc29354"/>
      <w:bookmarkStart w:id="155" w:name="_Toc11092"/>
      <w:r>
        <w:rPr>
          <w:rFonts w:ascii="Times New Roman" w:hAnsi="Times New Roman" w:cs="Times New Roman"/>
          <w:lang w:eastAsia="zh-CN"/>
        </w:rPr>
        <w:t>九、预案管理</w:t>
      </w:r>
      <w:bookmarkEnd w:id="154"/>
      <w:bookmarkEnd w:id="155"/>
    </w:p>
    <w:p w14:paraId="4F6E88C9">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val="0"/>
          <w:snapToGrid/>
          <w:sz w:val="32"/>
          <w:szCs w:val="32"/>
          <w:lang w:val="zh-CN" w:eastAsia="zh-CN" w:bidi="zh-CN"/>
        </w:rPr>
      </w:pPr>
      <w:bookmarkStart w:id="156" w:name="bookmark42"/>
      <w:bookmarkEnd w:id="156"/>
      <w:bookmarkStart w:id="157" w:name="_Toc2142"/>
      <w:bookmarkStart w:id="158" w:name="_Toc29816"/>
      <w:r>
        <w:rPr>
          <w:rFonts w:hint="eastAsia" w:ascii="楷体" w:hAnsi="楷体" w:eastAsia="楷体" w:cs="楷体"/>
          <w:b w:val="0"/>
          <w:bCs w:val="0"/>
          <w:snapToGrid/>
          <w:sz w:val="32"/>
          <w:szCs w:val="32"/>
          <w:lang w:val="zh-CN" w:eastAsia="zh-CN" w:bidi="zh-CN"/>
        </w:rPr>
        <w:t>（一）预案编制</w:t>
      </w:r>
      <w:bookmarkEnd w:id="157"/>
      <w:bookmarkEnd w:id="158"/>
    </w:p>
    <w:p w14:paraId="5E827803">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本预案由区民政局制定，根据区政府要求，结合实际情况，及时修订本预案。</w:t>
      </w:r>
    </w:p>
    <w:p w14:paraId="4E42E1A2">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辖区内各养老服务机构作为安全生产主体责任单位，应在本预案指导下编制本单位的火灾事故应急预案、食物中毒事故应急预案、触电事故应急预案、治安案件应急预案、老人突发疾病应急预案和其他事故应急预案等。</w:t>
      </w:r>
    </w:p>
    <w:p w14:paraId="76D6D5D2">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val="0"/>
          <w:snapToGrid/>
          <w:sz w:val="32"/>
          <w:szCs w:val="32"/>
          <w:lang w:val="zh-CN" w:eastAsia="zh-CN" w:bidi="zh-CN"/>
        </w:rPr>
      </w:pPr>
      <w:bookmarkStart w:id="159" w:name="bookmark43"/>
      <w:bookmarkEnd w:id="159"/>
      <w:bookmarkStart w:id="160" w:name="bookmark65"/>
      <w:bookmarkEnd w:id="160"/>
      <w:bookmarkStart w:id="161" w:name="_Toc26785"/>
      <w:bookmarkStart w:id="162" w:name="_Toc27325"/>
      <w:r>
        <w:rPr>
          <w:rFonts w:hint="eastAsia" w:ascii="楷体" w:hAnsi="楷体" w:eastAsia="楷体" w:cs="楷体"/>
          <w:b w:val="0"/>
          <w:bCs w:val="0"/>
          <w:snapToGrid/>
          <w:sz w:val="32"/>
          <w:szCs w:val="32"/>
          <w:lang w:val="zh-CN" w:eastAsia="zh-CN" w:bidi="zh-CN"/>
        </w:rPr>
        <w:t>（二）预案演练</w:t>
      </w:r>
      <w:bookmarkEnd w:id="161"/>
      <w:bookmarkEnd w:id="162"/>
    </w:p>
    <w:p w14:paraId="2AD5CE8E">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应急指挥部办公室每年至少组织一次演练。相关部门和单位要积极配合参与，提高快速反应和整体协同处置能力。</w:t>
      </w:r>
    </w:p>
    <w:p w14:paraId="6761DB66">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val="0"/>
          <w:snapToGrid/>
          <w:sz w:val="32"/>
          <w:szCs w:val="32"/>
          <w:lang w:val="zh-CN" w:eastAsia="zh-CN" w:bidi="zh-CN"/>
        </w:rPr>
      </w:pPr>
      <w:bookmarkStart w:id="163" w:name="bookmark44"/>
      <w:bookmarkEnd w:id="163"/>
      <w:bookmarkStart w:id="164" w:name="_Toc17682"/>
      <w:bookmarkStart w:id="165" w:name="_Toc17642"/>
      <w:r>
        <w:rPr>
          <w:rFonts w:hint="eastAsia" w:ascii="楷体" w:hAnsi="楷体" w:eastAsia="楷体" w:cs="楷体"/>
          <w:b w:val="0"/>
          <w:bCs w:val="0"/>
          <w:snapToGrid/>
          <w:sz w:val="32"/>
          <w:szCs w:val="32"/>
          <w:lang w:val="zh-CN" w:eastAsia="zh-CN" w:bidi="zh-CN"/>
        </w:rPr>
        <w:t>（三）预案评估与修订</w:t>
      </w:r>
      <w:bookmarkEnd w:id="164"/>
      <w:bookmarkEnd w:id="165"/>
    </w:p>
    <w:p w14:paraId="302AD2A3">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1.区民政局应当根据实际需要，结合情势变化，适时修订、完善应急预案。</w:t>
      </w:r>
    </w:p>
    <w:p w14:paraId="75DF9758">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2.有下列情形之一的，应当及时修订应急预案：</w:t>
      </w:r>
    </w:p>
    <w:p w14:paraId="1DBE0CE6">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）有关法律法规、规章、标准、上位预案中有关规定发生变化的；</w:t>
      </w:r>
    </w:p>
    <w:p w14:paraId="1F0185D5">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）应急指挥机构及其职责发生重大调整的；</w:t>
      </w:r>
    </w:p>
    <w:p w14:paraId="187811A6">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3</w:t>
      </w:r>
      <w:r>
        <w:rPr>
          <w:rFonts w:hint="eastAsia" w:ascii="仿宋" w:hAnsi="仿宋" w:eastAsia="仿宋" w:cs="仿宋"/>
          <w:lang w:eastAsia="zh-CN"/>
        </w:rPr>
        <w:t>）面临的风险发生重大变化的；</w:t>
      </w:r>
    </w:p>
    <w:p w14:paraId="5149DBE7">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）重要应急资源发生重大变化的；</w:t>
      </w:r>
    </w:p>
    <w:p w14:paraId="19861B84">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5</w:t>
      </w:r>
      <w:r>
        <w:rPr>
          <w:rFonts w:hint="eastAsia" w:ascii="仿宋" w:hAnsi="仿宋" w:eastAsia="仿宋" w:cs="仿宋"/>
          <w:lang w:eastAsia="zh-CN"/>
        </w:rPr>
        <w:t>）预案中的其他重要信息发生变化的；</w:t>
      </w:r>
    </w:p>
    <w:p w14:paraId="468BB58E">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6</w:t>
      </w:r>
      <w:r>
        <w:rPr>
          <w:rFonts w:hint="eastAsia" w:ascii="仿宋" w:hAnsi="仿宋" w:eastAsia="仿宋" w:cs="仿宋"/>
          <w:lang w:eastAsia="zh-CN"/>
        </w:rPr>
        <w:t>）在突发事件实际应对和应急演练中发现问题需要作出重大调整的；</w:t>
      </w:r>
    </w:p>
    <w:p w14:paraId="78C0EA5D">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7</w:t>
      </w:r>
      <w:r>
        <w:rPr>
          <w:rFonts w:hint="eastAsia" w:ascii="仿宋" w:hAnsi="仿宋" w:eastAsia="仿宋" w:cs="仿宋"/>
          <w:lang w:eastAsia="zh-CN"/>
        </w:rPr>
        <w:t>）应急预案制定单位认为应当修订的其他情况。</w:t>
      </w:r>
    </w:p>
    <w:p w14:paraId="1BEBF390">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3.应急预案修订涉及组织指挥体系与职责、应急处置程序、主要处置措施、突发事件分级标准等重要内容的，修订工作应按照本预案规定的预案编制、审批、备案、公布程序组织进行。仅涉及其他内容的，修订程序可适当简化。</w:t>
      </w:r>
    </w:p>
    <w:p w14:paraId="45EBA5DE">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4.区各部门、企事业单位、社会团体、公民等，可以向区民政局提出修订意见。</w:t>
      </w:r>
    </w:p>
    <w:p w14:paraId="7C470538">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lang w:eastAsia="zh-CN"/>
        </w:rPr>
      </w:pPr>
      <w:bookmarkStart w:id="166" w:name="bookmark66"/>
      <w:bookmarkEnd w:id="166"/>
      <w:bookmarkStart w:id="167" w:name="bookmark45"/>
      <w:bookmarkEnd w:id="167"/>
      <w:bookmarkStart w:id="168" w:name="_Toc11796"/>
      <w:bookmarkStart w:id="169" w:name="_Toc20293"/>
      <w:r>
        <w:rPr>
          <w:rFonts w:hint="eastAsia" w:ascii="楷体" w:hAnsi="楷体" w:eastAsia="楷体" w:cs="楷体"/>
          <w:b w:val="0"/>
          <w:bCs/>
          <w:lang w:eastAsia="zh-CN"/>
        </w:rPr>
        <w:t>（四）教育和培训</w:t>
      </w:r>
      <w:bookmarkEnd w:id="168"/>
      <w:bookmarkEnd w:id="169"/>
    </w:p>
    <w:p w14:paraId="4BA031CD">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区民政局会同有关部门制定预案培训、应急演练计划并组织实施，检验和提高养老机构应对突发事件的预警、应急响应和应急救助能力。</w:t>
      </w:r>
    </w:p>
    <w:p w14:paraId="5BA35412">
      <w:pPr>
        <w:pStyle w:val="3"/>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hint="eastAsia" w:ascii="楷体" w:hAnsi="楷体" w:eastAsia="楷体" w:cs="楷体"/>
          <w:b w:val="0"/>
          <w:bCs/>
          <w:lang w:eastAsia="zh-CN"/>
        </w:rPr>
      </w:pPr>
      <w:bookmarkStart w:id="170" w:name="bookmark46"/>
      <w:bookmarkEnd w:id="170"/>
      <w:bookmarkStart w:id="171" w:name="_Toc20287"/>
      <w:bookmarkStart w:id="172" w:name="_Toc15548"/>
      <w:r>
        <w:rPr>
          <w:rFonts w:hint="eastAsia" w:ascii="楷体" w:hAnsi="楷体" w:eastAsia="楷体" w:cs="楷体"/>
          <w:b w:val="0"/>
          <w:bCs/>
          <w:lang w:eastAsia="zh-CN"/>
        </w:rPr>
        <w:t>（五）责任与奖惩</w:t>
      </w:r>
      <w:bookmarkEnd w:id="171"/>
      <w:bookmarkEnd w:id="172"/>
    </w:p>
    <w:p w14:paraId="23DD2523">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1.突发事件应急处置工作实行行政领导负责制和责任追究制。</w:t>
      </w:r>
    </w:p>
    <w:p w14:paraId="75E66715">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2.公民按照区政府要求，在参加应急救援工作或者协助维护社会秩序期间，其在本单位的工资待遇和福利不变；对在突发事件应急管理工作中作出突出贡献的先进集体和个人，给予表彰或奖励。</w:t>
      </w:r>
    </w:p>
    <w:p w14:paraId="230D99C0">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3.对迟报、谎报、瞒报和漏报突发事件重要情况，应急处置不力，或者在应急管理工作中有其他失职、渎职行为的，依据有关规定给予处分；构成犯罪的，依法追究刑事责任。</w:t>
      </w:r>
    </w:p>
    <w:p w14:paraId="5BD01DCF">
      <w:pPr>
        <w:pStyle w:val="2"/>
        <w:keepNext w:val="0"/>
        <w:keepLines w:val="0"/>
        <w:pageBreakBefore w:val="0"/>
        <w:widowControl w:val="0"/>
        <w:kinsoku/>
        <w:wordWrap/>
        <w:overflowPunct/>
        <w:topLinePunct w:val="0"/>
        <w:autoSpaceDE w:val="0"/>
        <w:autoSpaceDN w:val="0"/>
        <w:bidi w:val="0"/>
        <w:adjustRightInd w:val="0"/>
        <w:snapToGrid w:val="0"/>
        <w:spacing w:before="0" w:after="0"/>
        <w:ind w:firstLine="640" w:firstLineChars="200"/>
        <w:jc w:val="both"/>
        <w:textAlignment w:val="baseline"/>
        <w:rPr>
          <w:rFonts w:ascii="Times New Roman" w:hAnsi="Times New Roman" w:cs="Times New Roman"/>
          <w:lang w:eastAsia="zh-CN"/>
        </w:rPr>
      </w:pPr>
      <w:bookmarkStart w:id="173" w:name="bookmark47"/>
      <w:bookmarkEnd w:id="173"/>
      <w:bookmarkStart w:id="174" w:name="_Toc15394"/>
      <w:bookmarkStart w:id="175" w:name="_Toc24236"/>
      <w:r>
        <w:rPr>
          <w:rFonts w:ascii="Times New Roman" w:hAnsi="Times New Roman" w:cs="Times New Roman"/>
          <w:lang w:eastAsia="zh-CN"/>
        </w:rPr>
        <w:t>十、附则</w:t>
      </w:r>
      <w:bookmarkEnd w:id="174"/>
      <w:bookmarkEnd w:id="175"/>
    </w:p>
    <w:p w14:paraId="5A147DD7">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1.本预案由区民政局起草，报区政府批准后组织实施。本预案由区民政局负责解释。</w:t>
      </w:r>
    </w:p>
    <w:p w14:paraId="5F2C93AB">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lang w:eastAsia="zh-CN"/>
        </w:rPr>
      </w:pPr>
      <w:r>
        <w:rPr>
          <w:rFonts w:hint="eastAsia" w:ascii="仿宋" w:hAnsi="仿宋" w:eastAsia="仿宋" w:cs="仿宋"/>
          <w:lang w:eastAsia="zh-CN"/>
        </w:rPr>
        <w:t>2.本预案自发布之日起实施。</w:t>
      </w:r>
    </w:p>
    <w:p w14:paraId="23CE9A3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spacing w:val="0"/>
          <w:sz w:val="32"/>
          <w:szCs w:val="32"/>
          <w:lang w:eastAsia="zh-CN"/>
        </w:rPr>
      </w:pPr>
      <w:bookmarkStart w:id="176" w:name="_Toc24583"/>
      <w:bookmarkStart w:id="177" w:name="_Toc4401"/>
      <w:bookmarkStart w:id="178" w:name="_Toc6564"/>
      <w:r>
        <w:rPr>
          <w:rFonts w:hint="eastAsia" w:ascii="黑体" w:hAnsi="黑体" w:eastAsia="黑体" w:cs="黑体"/>
          <w:spacing w:val="0"/>
          <w:sz w:val="32"/>
          <w:szCs w:val="32"/>
          <w:lang w:eastAsia="zh-CN"/>
        </w:rPr>
        <w:t>十一、附件</w:t>
      </w:r>
      <w:bookmarkEnd w:id="176"/>
      <w:bookmarkEnd w:id="177"/>
      <w:bookmarkEnd w:id="178"/>
    </w:p>
    <w:p w14:paraId="1CCECBEC">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b w:val="0"/>
          <w:bCs w:val="0"/>
          <w:spacing w:val="0"/>
          <w:sz w:val="32"/>
          <w:szCs w:val="32"/>
          <w:lang w:val="zh-CN" w:eastAsia="zh-CN" w:bidi="zh-CN"/>
        </w:rPr>
        <w:sectPr>
          <w:footerReference r:id="rId4" w:type="default"/>
          <w:pgSz w:w="11905" w:h="16838"/>
          <w:pgMar w:top="1451" w:right="1831" w:bottom="1451" w:left="1831" w:header="0" w:footer="567" w:gutter="0"/>
          <w:pgNumType w:fmt="decimal" w:start="1"/>
          <w:cols w:space="0" w:num="1"/>
          <w:rtlGutter w:val="0"/>
          <w:docGrid w:linePitch="0" w:charSpace="0"/>
        </w:sectPr>
      </w:pPr>
      <w:bookmarkStart w:id="179" w:name="_Toc12449"/>
      <w:r>
        <w:rPr>
          <w:rFonts w:hint="eastAsia" w:ascii="仿宋" w:hAnsi="仿宋" w:eastAsia="仿宋" w:cs="仿宋"/>
          <w:b w:val="0"/>
          <w:bCs w:val="0"/>
          <w:spacing w:val="0"/>
          <w:sz w:val="32"/>
          <w:szCs w:val="32"/>
          <w:lang w:eastAsia="zh-CN"/>
        </w:rPr>
        <w:t>附件：</w:t>
      </w:r>
      <w:bookmarkEnd w:id="179"/>
      <w:r>
        <w:rPr>
          <w:rFonts w:hint="eastAsia" w:ascii="仿宋" w:hAnsi="仿宋" w:eastAsia="仿宋" w:cs="仿宋"/>
          <w:b w:val="0"/>
          <w:bCs w:val="0"/>
          <w:spacing w:val="0"/>
          <w:sz w:val="32"/>
          <w:szCs w:val="32"/>
          <w:lang w:val="zh-CN" w:eastAsia="zh-CN" w:bidi="zh-CN"/>
        </w:rPr>
        <w:t>风险分级管控及评价方法</w:t>
      </w:r>
    </w:p>
    <w:p w14:paraId="5E8411F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spacing w:val="0"/>
          <w:sz w:val="32"/>
          <w:szCs w:val="32"/>
          <w:lang w:val="en-US" w:eastAsia="zh-CN" w:bidi="zh-CN"/>
        </w:rPr>
      </w:pPr>
      <w:bookmarkStart w:id="180" w:name="_Toc15518"/>
      <w:bookmarkStart w:id="181" w:name="_Toc22606"/>
      <w:r>
        <w:rPr>
          <w:rFonts w:hint="eastAsia" w:ascii="黑体" w:hAnsi="黑体" w:eastAsia="黑体" w:cs="黑体"/>
          <w:spacing w:val="0"/>
          <w:sz w:val="32"/>
          <w:szCs w:val="32"/>
          <w:lang w:val="en-US" w:eastAsia="zh-CN" w:bidi="zh-CN"/>
        </w:rPr>
        <w:t>附件</w:t>
      </w:r>
      <w:bookmarkEnd w:id="180"/>
      <w:bookmarkEnd w:id="181"/>
    </w:p>
    <w:p w14:paraId="1E69366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spacing w:val="0"/>
          <w:sz w:val="32"/>
          <w:szCs w:val="32"/>
          <w:lang w:val="en-US" w:eastAsia="zh-CN" w:bidi="zh-CN"/>
        </w:rPr>
      </w:pPr>
    </w:p>
    <w:p w14:paraId="48124D1D">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pPr>
      <w:bookmarkStart w:id="182" w:name="_Toc9164"/>
      <w:bookmarkStart w:id="183" w:name="_Toc23571"/>
      <w:r>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t>风险分级管控及评价方法</w:t>
      </w:r>
      <w:bookmarkEnd w:id="182"/>
      <w:bookmarkEnd w:id="183"/>
    </w:p>
    <w:p w14:paraId="14C59592">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pPr>
    </w:p>
    <w:p w14:paraId="72339C6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LS法安全风险评价判定准则</w:t>
      </w:r>
    </w:p>
    <w:p w14:paraId="2B67DD0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1.风险矩阵法的主要内容是：</w:t>
      </w:r>
      <w:r>
        <w:rPr>
          <w:rFonts w:hint="eastAsia" w:ascii="仿宋" w:hAnsi="仿宋" w:eastAsia="仿宋" w:cs="仿宋"/>
          <w:sz w:val="32"/>
          <w:szCs w:val="32"/>
          <w:lang w:val="zh-CN" w:eastAsia="zh-CN" w:bidi="zh-CN"/>
        </w:rPr>
        <w:t>识别出存在的风险，分析和评价风险事件发生的可能性和后果，二者相乘，得出风险的风险值，确定风险级别，进而决定应当采取的风险控制措施。</w:t>
      </w:r>
    </w:p>
    <w:p w14:paraId="2CDE910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数学表达式为：R=L×S，其中，</w:t>
      </w:r>
    </w:p>
    <w:p w14:paraId="012E454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R代表风险值；</w:t>
      </w:r>
    </w:p>
    <w:p w14:paraId="4E87A39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L代表风险事件发生可能性；</w:t>
      </w:r>
    </w:p>
    <w:p w14:paraId="6158C2C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S代表风险事件后果严重程度。</w:t>
      </w:r>
    </w:p>
    <w:p w14:paraId="4D772DB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2.风险事件发生可能性（L）取值</w:t>
      </w:r>
    </w:p>
    <w:p w14:paraId="68CC8CD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针对识别出的风险，对照风险事件发生的可能性，取其最大值作为最终L值，即满足若干条件之一时就取对应的L值，而无需满足所有条件。对照过程中，涉及到资料的，要见证到具体名称和条款；涉及到人员的，要具体到所有参与者。</w:t>
      </w:r>
    </w:p>
    <w:p w14:paraId="1B3218A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sz w:val="32"/>
          <w:szCs w:val="32"/>
          <w:lang w:val="zh-CN" w:eastAsia="zh-CN" w:bidi="zh-CN"/>
        </w:rPr>
        <w:t>事件发生的可能性（L）用事件发生的概率表示，取值如下表所示：</w:t>
      </w:r>
    </w:p>
    <w:p w14:paraId="169F2A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风险事件发生可能性（L）参考取值表</w:t>
      </w:r>
    </w:p>
    <w:p w14:paraId="43FBD1E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84"/>
        <w:gridCol w:w="1034"/>
        <w:gridCol w:w="1553"/>
        <w:gridCol w:w="1648"/>
        <w:gridCol w:w="2359"/>
        <w:gridCol w:w="1444"/>
      </w:tblGrid>
      <w:tr w14:paraId="2BB26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tcW w:w="464" w:type="dxa"/>
            <w:shd w:val="clear" w:color="auto" w:fill="auto"/>
            <w:vAlign w:val="center"/>
          </w:tcPr>
          <w:p w14:paraId="298300E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w:t>
            </w:r>
          </w:p>
        </w:tc>
        <w:tc>
          <w:tcPr>
            <w:tcW w:w="1034" w:type="dxa"/>
            <w:shd w:val="clear" w:color="auto" w:fill="auto"/>
            <w:vAlign w:val="center"/>
          </w:tcPr>
          <w:p w14:paraId="695F5F78">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参考频率</w:t>
            </w:r>
          </w:p>
        </w:tc>
        <w:tc>
          <w:tcPr>
            <w:tcW w:w="1553" w:type="dxa"/>
            <w:shd w:val="clear" w:color="auto" w:fill="auto"/>
            <w:vAlign w:val="center"/>
          </w:tcPr>
          <w:p w14:paraId="38DCD780">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人员情况</w:t>
            </w:r>
          </w:p>
        </w:tc>
        <w:tc>
          <w:tcPr>
            <w:tcW w:w="1648" w:type="dxa"/>
            <w:shd w:val="clear" w:color="auto" w:fill="auto"/>
            <w:vAlign w:val="center"/>
          </w:tcPr>
          <w:p w14:paraId="6465AF7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设备设施、工器具及材料</w:t>
            </w:r>
          </w:p>
        </w:tc>
        <w:tc>
          <w:tcPr>
            <w:shd w:val="clear" w:color="auto" w:fill="auto"/>
            <w:vAlign w:val="center"/>
          </w:tcPr>
          <w:p w14:paraId="06ACFEB8">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w:t>
            </w:r>
          </w:p>
          <w:p w14:paraId="7BFBB8F3">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状况</w:t>
            </w:r>
          </w:p>
        </w:tc>
        <w:tc>
          <w:tcPr>
            <w:shd w:val="clear" w:color="auto" w:fill="auto"/>
            <w:vAlign w:val="center"/>
          </w:tcPr>
          <w:p w14:paraId="47B41FC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规程和针对性管理方案</w:t>
            </w:r>
          </w:p>
        </w:tc>
      </w:tr>
      <w:tr w14:paraId="2E6BD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55" w:hRule="atLeast"/>
          <w:jc w:val="center"/>
        </w:trPr>
        <w:tc>
          <w:tcPr>
            <w:tcW w:w="464" w:type="dxa"/>
            <w:shd w:val="clear" w:color="auto" w:fill="auto"/>
            <w:vAlign w:val="center"/>
          </w:tcPr>
          <w:p w14:paraId="2BD0AAA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tcW w:w="1034" w:type="dxa"/>
            <w:shd w:val="clear" w:color="auto" w:fill="auto"/>
            <w:textDirection w:val="tbLrV"/>
            <w:vAlign w:val="center"/>
          </w:tcPr>
          <w:p w14:paraId="2877B50F">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本企业一年内发生过</w:t>
            </w:r>
          </w:p>
        </w:tc>
        <w:tc>
          <w:tcPr>
            <w:tcW w:w="1553" w:type="dxa"/>
            <w:shd w:val="clear" w:color="auto" w:fill="auto"/>
            <w:vAlign w:val="center"/>
          </w:tcPr>
          <w:p w14:paraId="2AFA2F6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无培训，无经验</w:t>
            </w:r>
          </w:p>
        </w:tc>
        <w:tc>
          <w:tcPr>
            <w:tcW w:w="1648" w:type="dxa"/>
            <w:shd w:val="clear" w:color="auto" w:fill="auto"/>
            <w:vAlign w:val="center"/>
          </w:tcPr>
          <w:p w14:paraId="675CF45B">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超期运行或超检验期</w:t>
            </w:r>
          </w:p>
        </w:tc>
        <w:tc>
          <w:tcPr>
            <w:shd w:val="clear" w:color="auto" w:fill="auto"/>
            <w:vAlign w:val="center"/>
          </w:tcPr>
          <w:p w14:paraId="725AC114">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危险化学品生产贮存区域；存在或可能产生危害气体</w:t>
            </w:r>
          </w:p>
        </w:tc>
        <w:tc>
          <w:tcPr>
            <w:shd w:val="clear" w:color="auto" w:fill="auto"/>
            <w:vAlign w:val="center"/>
          </w:tcPr>
          <w:p w14:paraId="637C9073">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没有</w:t>
            </w:r>
          </w:p>
        </w:tc>
      </w:tr>
      <w:tr w14:paraId="75F2C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775" w:hRule="atLeast"/>
          <w:jc w:val="center"/>
        </w:trPr>
        <w:tc>
          <w:tcPr>
            <w:tcW w:w="464" w:type="dxa"/>
            <w:shd w:val="clear" w:color="auto" w:fill="auto"/>
            <w:vAlign w:val="center"/>
          </w:tcPr>
          <w:p w14:paraId="794EC3A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tcW w:w="1034" w:type="dxa"/>
            <w:shd w:val="clear" w:color="auto" w:fill="auto"/>
            <w:textDirection w:val="tbLrV"/>
            <w:vAlign w:val="center"/>
          </w:tcPr>
          <w:p w14:paraId="62F3E7F8">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本集团一年内发生过</w:t>
            </w:r>
          </w:p>
        </w:tc>
        <w:tc>
          <w:tcPr>
            <w:tcW w:w="1553" w:type="dxa"/>
            <w:shd w:val="clear" w:color="auto" w:fill="auto"/>
            <w:vAlign w:val="center"/>
          </w:tcPr>
          <w:p w14:paraId="1602E79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有培训但培训时间不够或未达成效果</w:t>
            </w:r>
          </w:p>
        </w:tc>
        <w:tc>
          <w:tcPr>
            <w:tcW w:w="1648" w:type="dxa"/>
            <w:shd w:val="clear" w:color="auto" w:fill="auto"/>
            <w:vAlign w:val="center"/>
          </w:tcPr>
          <w:p w14:paraId="3917E06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保护自动装置功能不完善，存在质量缺陷</w:t>
            </w:r>
          </w:p>
        </w:tc>
        <w:tc>
          <w:tcPr>
            <w:shd w:val="clear" w:color="auto" w:fill="auto"/>
            <w:vAlign w:val="center"/>
          </w:tcPr>
          <w:p w14:paraId="3CA7B2A0">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作业空间受限；作业立体交叉；恶劣气象条件；高空或在运行设备设施上作业</w:t>
            </w:r>
          </w:p>
        </w:tc>
        <w:tc>
          <w:tcPr>
            <w:shd w:val="clear" w:color="auto" w:fill="auto"/>
            <w:vAlign w:val="center"/>
          </w:tcPr>
          <w:p w14:paraId="1B9550B0">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有，但不完善，且只偶尔执行</w:t>
            </w:r>
          </w:p>
        </w:tc>
      </w:tr>
      <w:tr w14:paraId="4C7058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23" w:hRule="atLeast"/>
          <w:jc w:val="center"/>
        </w:trPr>
        <w:tc>
          <w:tcPr>
            <w:tcW w:w="464" w:type="dxa"/>
            <w:shd w:val="clear" w:color="auto" w:fill="auto"/>
            <w:vAlign w:val="center"/>
          </w:tcPr>
          <w:p w14:paraId="7506FC63">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tcW w:w="1034" w:type="dxa"/>
            <w:shd w:val="clear" w:color="auto" w:fill="auto"/>
            <w:textDirection w:val="tbLrV"/>
            <w:vAlign w:val="center"/>
          </w:tcPr>
          <w:p w14:paraId="237356C7">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本行业一年内发生过</w:t>
            </w:r>
          </w:p>
        </w:tc>
        <w:tc>
          <w:tcPr>
            <w:tcW w:w="1553" w:type="dxa"/>
            <w:shd w:val="clear" w:color="auto" w:fill="auto"/>
            <w:vAlign w:val="center"/>
          </w:tcPr>
          <w:p w14:paraId="53F7BC5D">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经验不足，多次出现差错</w:t>
            </w:r>
          </w:p>
        </w:tc>
        <w:tc>
          <w:tcPr>
            <w:tcW w:w="1648" w:type="dxa"/>
            <w:shd w:val="clear" w:color="auto" w:fill="auto"/>
            <w:vAlign w:val="center"/>
          </w:tcPr>
          <w:p w14:paraId="77DDC354">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基本完好，但安全装置不完善</w:t>
            </w:r>
          </w:p>
        </w:tc>
        <w:tc>
          <w:tcPr>
            <w:shd w:val="clear" w:color="auto" w:fill="auto"/>
            <w:vAlign w:val="center"/>
          </w:tcPr>
          <w:p w14:paraId="06B82B2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通风、光照或温度需要采取措施才能作业；周围有运行设备；立面有同时作业</w:t>
            </w:r>
          </w:p>
        </w:tc>
        <w:tc>
          <w:tcPr>
            <w:shd w:val="clear" w:color="auto" w:fill="auto"/>
            <w:vAlign w:val="center"/>
          </w:tcPr>
          <w:p w14:paraId="637CC73B">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有，较完善，但只部分执行</w:t>
            </w:r>
          </w:p>
        </w:tc>
      </w:tr>
      <w:tr w14:paraId="05E50D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3123" w:hRule="atLeast"/>
          <w:jc w:val="center"/>
        </w:trPr>
        <w:tc>
          <w:tcPr>
            <w:tcW w:w="464" w:type="dxa"/>
            <w:shd w:val="clear" w:color="auto" w:fill="auto"/>
            <w:vAlign w:val="center"/>
          </w:tcPr>
          <w:p w14:paraId="60B4BCB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tcW w:w="1034" w:type="dxa"/>
            <w:shd w:val="clear" w:color="auto" w:fill="auto"/>
            <w:textDirection w:val="tbLrV"/>
            <w:vAlign w:val="center"/>
          </w:tcPr>
          <w:p w14:paraId="3D36F4C5">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全国范围一年内发生过</w:t>
            </w:r>
          </w:p>
        </w:tc>
        <w:tc>
          <w:tcPr>
            <w:tcW w:w="1553" w:type="dxa"/>
            <w:shd w:val="clear" w:color="auto" w:fill="auto"/>
            <w:vAlign w:val="center"/>
          </w:tcPr>
          <w:p w14:paraId="5A74042B">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偶尔出现差错</w:t>
            </w:r>
          </w:p>
        </w:tc>
        <w:tc>
          <w:tcPr>
            <w:tcW w:w="1648" w:type="dxa"/>
            <w:shd w:val="clear" w:color="auto" w:fill="auto"/>
            <w:vAlign w:val="center"/>
          </w:tcPr>
          <w:p w14:paraId="7AEF8FE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总体完好，但有缺陷</w:t>
            </w:r>
          </w:p>
        </w:tc>
        <w:tc>
          <w:tcPr>
            <w:shd w:val="clear" w:color="auto" w:fill="auto"/>
            <w:vAlign w:val="center"/>
          </w:tcPr>
          <w:p w14:paraId="419F8A8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通风、光照或温度不影响作业；系统停运；同一作业面有其它作业</w:t>
            </w:r>
          </w:p>
        </w:tc>
        <w:tc>
          <w:tcPr>
            <w:shd w:val="clear" w:color="auto" w:fill="auto"/>
            <w:vAlign w:val="center"/>
          </w:tcPr>
          <w:p w14:paraId="7837B41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有，完善，但偶尔不执行</w:t>
            </w:r>
          </w:p>
        </w:tc>
      </w:tr>
      <w:tr w14:paraId="0FEFD7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1772" w:hRule="atLeast"/>
          <w:jc w:val="center"/>
        </w:trPr>
        <w:tc>
          <w:tcPr>
            <w:tcW w:w="464" w:type="dxa"/>
            <w:shd w:val="clear" w:color="auto" w:fill="auto"/>
            <w:vAlign w:val="center"/>
          </w:tcPr>
          <w:p w14:paraId="014A081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tcW w:w="1034" w:type="dxa"/>
            <w:shd w:val="clear" w:color="auto" w:fill="auto"/>
            <w:textDirection w:val="tbLrV"/>
            <w:vAlign w:val="center"/>
          </w:tcPr>
          <w:p w14:paraId="296EAB51">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从未发生过</w:t>
            </w:r>
          </w:p>
        </w:tc>
        <w:tc>
          <w:tcPr>
            <w:tcW w:w="1553" w:type="dxa"/>
            <w:shd w:val="clear" w:color="auto" w:fill="auto"/>
            <w:vAlign w:val="center"/>
          </w:tcPr>
          <w:p w14:paraId="6454B5F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培训充分，经验丰富，安全意识强</w:t>
            </w:r>
          </w:p>
        </w:tc>
        <w:tc>
          <w:tcPr>
            <w:tcW w:w="1648" w:type="dxa"/>
            <w:shd w:val="clear" w:color="auto" w:fill="auto"/>
            <w:vAlign w:val="center"/>
          </w:tcPr>
          <w:p w14:paraId="4EB352C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完好，无缺陷</w:t>
            </w:r>
          </w:p>
        </w:tc>
        <w:tc>
          <w:tcPr>
            <w:shd w:val="clear" w:color="auto" w:fill="auto"/>
            <w:vAlign w:val="center"/>
          </w:tcPr>
          <w:p w14:paraId="1CFEDE5B">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通风、光照良好，温度适宜；系统停运且周围无运行设备</w:t>
            </w:r>
          </w:p>
        </w:tc>
        <w:tc>
          <w:tcPr>
            <w:shd w:val="clear" w:color="auto" w:fill="auto"/>
            <w:vAlign w:val="center"/>
          </w:tcPr>
          <w:p w14:paraId="2A45FAC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有，完善，严格执行</w:t>
            </w:r>
          </w:p>
        </w:tc>
      </w:tr>
    </w:tbl>
    <w:p w14:paraId="20BEB05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注：当缺少基础资料或者无法取得充分可靠的数据或者分析数据不具有成本效益性时，取值可参照类似性质、规模企业的业内平均水平。</w:t>
      </w:r>
    </w:p>
    <w:p w14:paraId="6F4BB90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3.风险事件后果严重程度（S）取值</w:t>
      </w:r>
    </w:p>
    <w:p w14:paraId="793B162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从人员伤亡、经济损失二个维度对风险事件后果严重程度进行评价取值，以最大值作为最终S值，即满足若干条件之一时就取对应的S值，而无需满足所有条件。</w:t>
      </w:r>
    </w:p>
    <w:p w14:paraId="72087BD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p>
    <w:p w14:paraId="3799258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风险事件后果严重程度（S）参考取值表</w:t>
      </w:r>
    </w:p>
    <w:tbl>
      <w:tblPr>
        <w:tblStyle w:val="19"/>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84"/>
        <w:gridCol w:w="3404"/>
        <w:gridCol w:w="4891"/>
      </w:tblGrid>
      <w:tr w14:paraId="45B5F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3B64F8E4">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S</w:t>
            </w:r>
          </w:p>
        </w:tc>
        <w:tc>
          <w:tcPr>
            <w:shd w:val="clear" w:color="auto" w:fill="auto"/>
            <w:vAlign w:val="center"/>
          </w:tcPr>
          <w:p w14:paraId="4AC60BC8">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可能造成的人身伤害</w:t>
            </w:r>
          </w:p>
        </w:tc>
        <w:tc>
          <w:tcPr>
            <w:shd w:val="clear" w:color="auto" w:fill="auto"/>
            <w:vAlign w:val="center"/>
          </w:tcPr>
          <w:p w14:paraId="5DAAA3AE">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可能造成的财产损失、设备设施损坏</w:t>
            </w:r>
          </w:p>
        </w:tc>
      </w:tr>
      <w:tr w14:paraId="49A65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1D261AC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14D3EC6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3人及以上死亡或7人及以上重伤</w:t>
            </w:r>
          </w:p>
        </w:tc>
        <w:tc>
          <w:tcPr>
            <w:shd w:val="clear" w:color="auto" w:fill="auto"/>
            <w:vAlign w:val="center"/>
          </w:tcPr>
          <w:p w14:paraId="3904C18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直接经济损失在1000万元及以上</w:t>
            </w:r>
          </w:p>
        </w:tc>
      </w:tr>
      <w:tr w14:paraId="347CF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64120624">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15701D0B">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1-2人死亡或3-6人重伤</w:t>
            </w:r>
          </w:p>
        </w:tc>
        <w:tc>
          <w:tcPr>
            <w:shd w:val="clear" w:color="auto" w:fill="auto"/>
            <w:vAlign w:val="center"/>
          </w:tcPr>
          <w:p w14:paraId="63453F8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直接经济损失在100万元及以上，1000万元以下</w:t>
            </w:r>
          </w:p>
        </w:tc>
      </w:tr>
      <w:tr w14:paraId="4F28CD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5F45093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32FEA44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造成1至2人重伤或3至6人轻伤</w:t>
            </w:r>
          </w:p>
        </w:tc>
        <w:tc>
          <w:tcPr>
            <w:shd w:val="clear" w:color="auto" w:fill="auto"/>
            <w:vAlign w:val="center"/>
          </w:tcPr>
          <w:p w14:paraId="6B915F3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直接经济损失在10万元及以上，100万元以下</w:t>
            </w:r>
          </w:p>
        </w:tc>
      </w:tr>
      <w:tr w14:paraId="7B8CC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206B4D3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25275A9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1至2人轻伤</w:t>
            </w:r>
          </w:p>
        </w:tc>
        <w:tc>
          <w:tcPr>
            <w:shd w:val="clear" w:color="auto" w:fill="auto"/>
            <w:vAlign w:val="center"/>
          </w:tcPr>
          <w:p w14:paraId="15A1EBD4">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直接经济损失一万元及以上，10万元以下</w:t>
            </w:r>
          </w:p>
        </w:tc>
      </w:tr>
      <w:tr w14:paraId="137895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98" w:hRule="atLeast"/>
          <w:jc w:val="center"/>
        </w:trPr>
        <w:tc>
          <w:tcPr>
            <w:shd w:val="clear" w:color="auto" w:fill="auto"/>
            <w:vAlign w:val="center"/>
          </w:tcPr>
          <w:p w14:paraId="42CC651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5139C6B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1至2人轻微伤</w:t>
            </w:r>
          </w:p>
        </w:tc>
        <w:tc>
          <w:tcPr>
            <w:shd w:val="clear" w:color="auto" w:fill="auto"/>
            <w:vAlign w:val="center"/>
          </w:tcPr>
          <w:p w14:paraId="07E0FC6D">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直接经济损失在1万元以下</w:t>
            </w:r>
          </w:p>
        </w:tc>
      </w:tr>
    </w:tbl>
    <w:p w14:paraId="68ABAE4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4.风险评价</w:t>
      </w:r>
    </w:p>
    <w:p w14:paraId="6EEEE76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风险评价是根据风险分析的结果，确定风险等级。</w:t>
      </w:r>
    </w:p>
    <w:p w14:paraId="3F1879F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4.1风险值（R）</w:t>
      </w:r>
    </w:p>
    <w:p w14:paraId="286C095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根据公式R=L×S计算出风险的风险值（R），并取最大值作为该风险的最终风险值（R）。</w:t>
      </w:r>
    </w:p>
    <w:p w14:paraId="2F4E6A3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p>
    <w:p w14:paraId="0B76B30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风险矩阵（R）</w:t>
      </w:r>
    </w:p>
    <w:p w14:paraId="5625B715">
      <w:pPr>
        <w:widowControl w:val="0"/>
        <w:autoSpaceDE w:val="0"/>
        <w:autoSpaceDN w:val="0"/>
        <w:ind w:left="0" w:leftChars="0" w:firstLine="0" w:firstLineChars="0"/>
        <w:jc w:val="center"/>
        <w:rPr>
          <w:rFonts w:ascii="宋体" w:hAnsi="宋体" w:eastAsia="宋体" w:cs="宋体"/>
          <w:sz w:val="28"/>
          <w:szCs w:val="28"/>
          <w:lang w:val="zh-CN" w:eastAsia="zh-CN" w:bidi="zh-CN"/>
        </w:rPr>
      </w:pPr>
      <w:r>
        <w:rPr>
          <w:rFonts w:ascii="宋体" w:hAnsi="宋体" w:eastAsia="宋体" w:cs="宋体"/>
          <w:sz w:val="28"/>
          <w:szCs w:val="28"/>
          <w:lang w:val="zh-CN" w:eastAsia="zh-CN" w:bidi="zh-CN"/>
        </w:rPr>
        <w:drawing>
          <wp:inline distT="0" distB="0" distL="114300" distR="114300">
            <wp:extent cx="5201920" cy="2435225"/>
            <wp:effectExtent l="0" t="0" r="10160" b="317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pic:cNvPicPr>
                      <a:picLocks noChangeAspect="1" noChangeArrowheads="1"/>
                    </pic:cNvPicPr>
                  </pic:nvPicPr>
                  <pic:blipFill>
                    <a:blip r:embed="rId7"/>
                    <a:stretch>
                      <a:fillRect/>
                    </a:stretch>
                  </pic:blipFill>
                  <pic:spPr>
                    <a:xfrm>
                      <a:off x="0" y="0"/>
                      <a:ext cx="5201920" cy="2435225"/>
                    </a:xfrm>
                    <a:prstGeom prst="rect">
                      <a:avLst/>
                    </a:prstGeom>
                    <a:noFill/>
                    <a:ln w="9525">
                      <a:noFill/>
                    </a:ln>
                  </pic:spPr>
                </pic:pic>
              </a:graphicData>
            </a:graphic>
          </wp:inline>
        </w:drawing>
      </w:r>
    </w:p>
    <w:p w14:paraId="20ED986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4.2风险等级</w:t>
      </w:r>
    </w:p>
    <w:p w14:paraId="1EF4327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根据风险值（R）的大小，将风险由高到低分为重大风险、较大风险、一般风险和低风险四个等级。</w:t>
      </w:r>
    </w:p>
    <w:p w14:paraId="60B3F45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p>
    <w:p w14:paraId="24300F9C">
      <w:pPr>
        <w:widowControl w:val="0"/>
        <w:autoSpaceDE w:val="0"/>
        <w:autoSpaceDN w:val="0"/>
        <w:ind w:left="0" w:leftChars="0" w:firstLine="0" w:firstLineChars="0"/>
        <w:jc w:val="center"/>
        <w:rPr>
          <w:rFonts w:ascii="宋体" w:hAnsi="宋体" w:eastAsia="宋体" w:cs="宋体"/>
          <w:sz w:val="28"/>
          <w:szCs w:val="28"/>
          <w:lang w:val="zh-CN" w:eastAsia="zh-CN" w:bidi="zh-CN"/>
        </w:rPr>
      </w:pPr>
      <w:r>
        <w:rPr>
          <w:rFonts w:ascii="宋体" w:hAnsi="宋体" w:eastAsia="宋体" w:cs="宋体"/>
          <w:sz w:val="28"/>
          <w:szCs w:val="28"/>
          <w:lang w:val="zh-CN" w:eastAsia="zh-CN" w:bidi="zh-CN"/>
        </w:rPr>
        <w:drawing>
          <wp:inline distT="0" distB="0" distL="114300" distR="114300">
            <wp:extent cx="5735320" cy="2129155"/>
            <wp:effectExtent l="0" t="0" r="10160" b="4445"/>
            <wp:docPr id="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pic:cNvPicPr>
                      <a:picLocks noChangeAspect="1" noChangeArrowheads="1"/>
                    </pic:cNvPicPr>
                  </pic:nvPicPr>
                  <pic:blipFill>
                    <a:blip r:embed="rId8"/>
                    <a:stretch>
                      <a:fillRect/>
                    </a:stretch>
                  </pic:blipFill>
                  <pic:spPr>
                    <a:xfrm>
                      <a:off x="0" y="0"/>
                      <a:ext cx="5735320" cy="2129155"/>
                    </a:xfrm>
                    <a:prstGeom prst="rect">
                      <a:avLst/>
                    </a:prstGeom>
                    <a:noFill/>
                    <a:ln w="9525">
                      <a:noFill/>
                    </a:ln>
                  </pic:spPr>
                </pic:pic>
              </a:graphicData>
            </a:graphic>
          </wp:inline>
        </w:drawing>
      </w:r>
    </w:p>
    <w:p w14:paraId="63553E1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p>
    <w:p w14:paraId="08F8126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p>
    <w:p w14:paraId="1130496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LEC法安全风险评价判定准则</w:t>
      </w:r>
    </w:p>
    <w:p w14:paraId="3615D9B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表1</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可能性（L）基准值</w:t>
      </w:r>
    </w:p>
    <w:tbl>
      <w:tblPr>
        <w:tblStyle w:val="19"/>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79"/>
        <w:gridCol w:w="4827"/>
        <w:gridCol w:w="2506"/>
        <w:gridCol w:w="767"/>
      </w:tblGrid>
      <w:tr w14:paraId="4EF02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87" w:hRule="atLeast"/>
          <w:jc w:val="center"/>
        </w:trPr>
        <w:tc>
          <w:tcPr>
            <w:vMerge w:val="restart"/>
            <w:shd w:val="clear" w:color="auto" w:fill="auto"/>
            <w:vAlign w:val="center"/>
          </w:tcPr>
          <w:p w14:paraId="7EF4D6B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07C51DF7">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事故发生的可能性</w:t>
            </w:r>
          </w:p>
        </w:tc>
        <w:tc>
          <w:tcPr>
            <w:vMerge w:val="restart"/>
            <w:shd w:val="clear" w:color="auto" w:fill="auto"/>
            <w:vAlign w:val="center"/>
          </w:tcPr>
          <w:p w14:paraId="49FF8FB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77DE09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vMerge w:val="continue"/>
            <w:shd w:val="clear" w:color="auto" w:fill="auto"/>
            <w:vAlign w:val="center"/>
          </w:tcPr>
          <w:p w14:paraId="27513792">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70D76AC">
            <w:pPr>
              <w:widowControl w:val="0"/>
              <w:autoSpaceDE w:val="0"/>
              <w:autoSpaceDN w:val="0"/>
              <w:spacing w:before="60" w:after="60"/>
              <w:ind w:left="108" w:firstLine="0" w:firstLineChars="0"/>
              <w:jc w:val="left"/>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人员伤亡、火灾、设备损坏、生产中断、环境污染</w:t>
            </w:r>
          </w:p>
        </w:tc>
        <w:tc>
          <w:tcPr>
            <w:shd w:val="clear" w:color="auto" w:fill="auto"/>
            <w:vAlign w:val="center"/>
          </w:tcPr>
          <w:p w14:paraId="692C872B">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职业健康损害</w:t>
            </w:r>
          </w:p>
        </w:tc>
        <w:tc>
          <w:tcPr>
            <w:vMerge w:val="continue"/>
            <w:shd w:val="clear" w:color="auto" w:fill="auto"/>
            <w:vAlign w:val="center"/>
          </w:tcPr>
          <w:p w14:paraId="677292E9">
            <w:pPr>
              <w:widowControl w:val="0"/>
              <w:kinsoku/>
              <w:adjustRightInd/>
              <w:snapToGrid/>
              <w:textAlignment w:val="auto"/>
              <w:rPr>
                <w:rFonts w:hint="eastAsia" w:ascii="仿宋" w:hAnsi="仿宋" w:eastAsia="仿宋" w:cs="仿宋"/>
                <w:snapToGrid/>
                <w:sz w:val="32"/>
                <w:szCs w:val="32"/>
                <w:lang w:val="zh-CN" w:eastAsia="zh-CN" w:bidi="zh-CN"/>
              </w:rPr>
            </w:pPr>
          </w:p>
        </w:tc>
      </w:tr>
      <w:tr w14:paraId="26B44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515CE1E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4591756B">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如果危害事件发生，即产生最可能和预期的结果（100%）</w:t>
            </w:r>
          </w:p>
        </w:tc>
        <w:tc>
          <w:tcPr>
            <w:shd w:val="clear" w:color="auto" w:fill="auto"/>
            <w:vAlign w:val="center"/>
          </w:tcPr>
          <w:p w14:paraId="72173E2F">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频繁：平均每6个月发生一次</w:t>
            </w:r>
          </w:p>
        </w:tc>
        <w:tc>
          <w:tcPr>
            <w:shd w:val="clear" w:color="auto" w:fill="auto"/>
            <w:vAlign w:val="center"/>
          </w:tcPr>
          <w:p w14:paraId="51A6670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w:t>
            </w:r>
          </w:p>
        </w:tc>
      </w:tr>
      <w:tr w14:paraId="494CF3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28E295A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09313D71">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十分可能（50%）</w:t>
            </w:r>
          </w:p>
        </w:tc>
        <w:tc>
          <w:tcPr>
            <w:shd w:val="clear" w:color="auto" w:fill="auto"/>
            <w:vAlign w:val="center"/>
          </w:tcPr>
          <w:p w14:paraId="4522FA28">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持续：平均每1年发生一次</w:t>
            </w:r>
          </w:p>
        </w:tc>
        <w:tc>
          <w:tcPr>
            <w:shd w:val="clear" w:color="auto" w:fill="auto"/>
            <w:vAlign w:val="center"/>
          </w:tcPr>
          <w:p w14:paraId="3F1F1DA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r>
      <w:tr w14:paraId="74B7A1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140931D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3B8498C0">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可能（25%）</w:t>
            </w:r>
          </w:p>
        </w:tc>
        <w:tc>
          <w:tcPr>
            <w:shd w:val="clear" w:color="auto" w:fill="auto"/>
            <w:vAlign w:val="center"/>
          </w:tcPr>
          <w:p w14:paraId="02D3DC40">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经常：平均每1～2年发生一次</w:t>
            </w:r>
          </w:p>
        </w:tc>
        <w:tc>
          <w:tcPr>
            <w:shd w:val="clear" w:color="auto" w:fill="auto"/>
            <w:vAlign w:val="center"/>
          </w:tcPr>
          <w:p w14:paraId="1A04EAB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r>
      <w:tr w14:paraId="130C1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3D54459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424015AE">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很少的可能性，据说曾经发生过</w:t>
            </w:r>
          </w:p>
        </w:tc>
        <w:tc>
          <w:tcPr>
            <w:shd w:val="clear" w:color="auto" w:fill="auto"/>
            <w:vAlign w:val="center"/>
          </w:tcPr>
          <w:p w14:paraId="4451392E">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偶然：3～9年发生一次</w:t>
            </w:r>
          </w:p>
        </w:tc>
        <w:tc>
          <w:tcPr>
            <w:shd w:val="clear" w:color="auto" w:fill="auto"/>
            <w:vAlign w:val="center"/>
          </w:tcPr>
          <w:p w14:paraId="08493A0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126458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01DADCA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7EAC0F9B">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相当少但确有可能，多年没有发生过</w:t>
            </w:r>
          </w:p>
        </w:tc>
        <w:tc>
          <w:tcPr>
            <w:shd w:val="clear" w:color="auto" w:fill="auto"/>
            <w:vAlign w:val="center"/>
          </w:tcPr>
          <w:p w14:paraId="16BBDBBF">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很难：10～20年发生一次</w:t>
            </w:r>
          </w:p>
        </w:tc>
        <w:tc>
          <w:tcPr>
            <w:shd w:val="clear" w:color="auto" w:fill="auto"/>
            <w:vAlign w:val="center"/>
          </w:tcPr>
          <w:p w14:paraId="025B40B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0.5</w:t>
            </w:r>
          </w:p>
        </w:tc>
      </w:tr>
      <w:tr w14:paraId="22D3A4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90" w:hRule="atLeast"/>
          <w:jc w:val="center"/>
        </w:trPr>
        <w:tc>
          <w:tcPr>
            <w:shd w:val="clear" w:color="auto" w:fill="auto"/>
            <w:vAlign w:val="center"/>
          </w:tcPr>
          <w:p w14:paraId="6644F03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41E80EE5">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百万分之一的可能性，尽管暴露了许多年，但从来没有发生过</w:t>
            </w:r>
          </w:p>
        </w:tc>
        <w:tc>
          <w:tcPr>
            <w:shd w:val="clear" w:color="auto" w:fill="auto"/>
            <w:vAlign w:val="center"/>
          </w:tcPr>
          <w:p w14:paraId="2600ABB4">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罕见：几乎从未发生过</w:t>
            </w:r>
          </w:p>
        </w:tc>
        <w:tc>
          <w:tcPr>
            <w:shd w:val="clear" w:color="auto" w:fill="auto"/>
            <w:vAlign w:val="center"/>
          </w:tcPr>
          <w:p w14:paraId="25C4F08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0.1</w:t>
            </w:r>
          </w:p>
        </w:tc>
      </w:tr>
    </w:tbl>
    <w:p w14:paraId="040EB0B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p>
    <w:p w14:paraId="5DF421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表2</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暴露率（E）基准值</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3"/>
        <w:gridCol w:w="3875"/>
        <w:gridCol w:w="3194"/>
        <w:gridCol w:w="770"/>
      </w:tblGrid>
      <w:tr w14:paraId="545FE1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311CCD1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16BEC9D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人员暴露于危险环境中的频繁程度</w:t>
            </w:r>
          </w:p>
        </w:tc>
        <w:tc>
          <w:tcPr>
            <w:vMerge w:val="restart"/>
            <w:shd w:val="clear" w:color="auto" w:fill="auto"/>
            <w:vAlign w:val="center"/>
          </w:tcPr>
          <w:p w14:paraId="35E6213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22DB14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AA7ED01">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1B9CCF3">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人员伤亡、火灾、设备损坏、生产中断、环境污染</w:t>
            </w:r>
          </w:p>
        </w:tc>
        <w:tc>
          <w:tcPr>
            <w:shd w:val="clear" w:color="auto" w:fill="auto"/>
            <w:vAlign w:val="center"/>
          </w:tcPr>
          <w:p w14:paraId="1B8136B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职业健康损害</w:t>
            </w:r>
          </w:p>
        </w:tc>
        <w:tc>
          <w:tcPr>
            <w:vMerge w:val="continue"/>
            <w:shd w:val="clear" w:color="auto" w:fill="auto"/>
            <w:vAlign w:val="center"/>
          </w:tcPr>
          <w:p w14:paraId="58EDA6B2">
            <w:pPr>
              <w:widowControl w:val="0"/>
              <w:kinsoku/>
              <w:adjustRightInd/>
              <w:snapToGrid/>
              <w:textAlignment w:val="auto"/>
              <w:rPr>
                <w:rFonts w:hint="eastAsia" w:ascii="仿宋" w:hAnsi="仿宋" w:eastAsia="仿宋" w:cs="仿宋"/>
                <w:snapToGrid/>
                <w:sz w:val="32"/>
                <w:szCs w:val="32"/>
                <w:lang w:val="zh-CN" w:eastAsia="zh-CN" w:bidi="zh-CN"/>
              </w:rPr>
            </w:pPr>
          </w:p>
        </w:tc>
      </w:tr>
      <w:tr w14:paraId="22512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0B88E81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694BED0C">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持续（每天许多次）</w:t>
            </w:r>
          </w:p>
        </w:tc>
        <w:tc>
          <w:tcPr>
            <w:shd w:val="clear" w:color="auto" w:fill="auto"/>
            <w:vAlign w:val="center"/>
          </w:tcPr>
          <w:p w14:paraId="126B9A30">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暴露期大于2倍的法定极限值</w:t>
            </w:r>
          </w:p>
        </w:tc>
        <w:tc>
          <w:tcPr>
            <w:shd w:val="clear" w:color="auto" w:fill="auto"/>
            <w:vAlign w:val="center"/>
          </w:tcPr>
          <w:p w14:paraId="05DCCA1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w:t>
            </w:r>
          </w:p>
        </w:tc>
      </w:tr>
      <w:tr w14:paraId="4A356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0B429D2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523F1B14">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经常（大概每天一次）</w:t>
            </w:r>
          </w:p>
        </w:tc>
        <w:tc>
          <w:tcPr>
            <w:shd w:val="clear" w:color="auto" w:fill="auto"/>
            <w:vAlign w:val="center"/>
          </w:tcPr>
          <w:p w14:paraId="76314A3C">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暴露期介于1～2倍法定极限值之间</w:t>
            </w:r>
          </w:p>
        </w:tc>
        <w:tc>
          <w:tcPr>
            <w:shd w:val="clear" w:color="auto" w:fill="auto"/>
            <w:vAlign w:val="center"/>
          </w:tcPr>
          <w:p w14:paraId="7CC8BE6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r>
      <w:tr w14:paraId="3D84EB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147BA5B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3D02EC5E">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有时（从每周一次到每月一次）</w:t>
            </w:r>
          </w:p>
        </w:tc>
        <w:tc>
          <w:tcPr>
            <w:shd w:val="clear" w:color="auto" w:fill="auto"/>
            <w:vAlign w:val="center"/>
          </w:tcPr>
          <w:p w14:paraId="1DFA0892">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暴露期在法定极限值内</w:t>
            </w:r>
          </w:p>
        </w:tc>
        <w:tc>
          <w:tcPr>
            <w:shd w:val="clear" w:color="auto" w:fill="auto"/>
            <w:vAlign w:val="center"/>
          </w:tcPr>
          <w:p w14:paraId="1D3ABB4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r>
      <w:tr w14:paraId="0C980A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203D944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1962CE8A">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偶尔（从每月一次到每年一次）</w:t>
            </w:r>
          </w:p>
        </w:tc>
        <w:tc>
          <w:tcPr>
            <w:shd w:val="clear" w:color="auto" w:fill="auto"/>
            <w:vAlign w:val="center"/>
          </w:tcPr>
          <w:p w14:paraId="734F08B4">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暴露期在正常允许水平和法定极限值之间</w:t>
            </w:r>
          </w:p>
        </w:tc>
        <w:tc>
          <w:tcPr>
            <w:shd w:val="clear" w:color="auto" w:fill="auto"/>
            <w:vAlign w:val="center"/>
          </w:tcPr>
          <w:p w14:paraId="1631E90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r>
      <w:tr w14:paraId="6CA35A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403C4F9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6ECF5719">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很少（据说曾经发生过）</w:t>
            </w:r>
          </w:p>
        </w:tc>
        <w:tc>
          <w:tcPr>
            <w:shd w:val="clear" w:color="auto" w:fill="auto"/>
            <w:vAlign w:val="center"/>
          </w:tcPr>
          <w:p w14:paraId="473D8E37">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暴露期在正常允许水平内</w:t>
            </w:r>
          </w:p>
        </w:tc>
        <w:tc>
          <w:tcPr>
            <w:shd w:val="clear" w:color="auto" w:fill="auto"/>
            <w:vAlign w:val="center"/>
          </w:tcPr>
          <w:p w14:paraId="5DED52A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2A7A3F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1F92475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7681CFB9">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特别少（没发生过，但有发生的可能性）</w:t>
            </w:r>
          </w:p>
        </w:tc>
        <w:tc>
          <w:tcPr>
            <w:shd w:val="clear" w:color="auto" w:fill="auto"/>
            <w:vAlign w:val="center"/>
          </w:tcPr>
          <w:p w14:paraId="766193AA">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暴露期低于正常允许水平</w:t>
            </w:r>
          </w:p>
        </w:tc>
        <w:tc>
          <w:tcPr>
            <w:shd w:val="clear" w:color="auto" w:fill="auto"/>
            <w:vAlign w:val="center"/>
          </w:tcPr>
          <w:p w14:paraId="36B8325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0.5</w:t>
            </w:r>
          </w:p>
        </w:tc>
      </w:tr>
    </w:tbl>
    <w:p w14:paraId="282449C2">
      <w:pPr>
        <w:widowControl w:val="0"/>
        <w:autoSpaceDE w:val="0"/>
        <w:autoSpaceDN w:val="0"/>
        <w:ind w:left="108" w:firstLine="535"/>
        <w:rPr>
          <w:rFonts w:hint="eastAsia" w:ascii="仿宋" w:hAnsi="仿宋" w:eastAsia="仿宋" w:cs="仿宋"/>
          <w:b/>
          <w:bCs/>
          <w:sz w:val="32"/>
          <w:szCs w:val="32"/>
          <w:lang w:val="zh-CN" w:eastAsia="zh-CN" w:bidi="zh-CN"/>
        </w:rPr>
      </w:pPr>
    </w:p>
    <w:p w14:paraId="1DABE76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表3</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后果（C）基准值</w:t>
      </w:r>
    </w:p>
    <w:tbl>
      <w:tblPr>
        <w:tblStyle w:val="19"/>
        <w:tblW w:w="500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108" w:type="dxa"/>
          <w:bottom w:w="28" w:type="dxa"/>
          <w:right w:w="108" w:type="dxa"/>
        </w:tblCellMar>
      </w:tblPr>
      <w:tblGrid>
        <w:gridCol w:w="2131"/>
        <w:gridCol w:w="2131"/>
        <w:gridCol w:w="2131"/>
        <w:gridCol w:w="2131"/>
      </w:tblGrid>
      <w:tr w14:paraId="009EB0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0CD06C4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463912C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事故可能造成后果的严重程度</w:t>
            </w:r>
          </w:p>
        </w:tc>
        <w:tc>
          <w:tcPr>
            <w:shd w:val="clear" w:color="auto" w:fill="auto"/>
            <w:vAlign w:val="center"/>
          </w:tcPr>
          <w:p w14:paraId="360D87A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4AB596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76A09BC">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61F78CB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6337C026">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（1）造成死亡≥3人；或重伤≥10人。</w:t>
            </w:r>
          </w:p>
        </w:tc>
        <w:tc>
          <w:tcPr>
            <w:vMerge w:val="restart"/>
            <w:shd w:val="clear" w:color="auto" w:fill="auto"/>
            <w:vAlign w:val="center"/>
          </w:tcPr>
          <w:p w14:paraId="39B41D4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100</w:t>
            </w:r>
          </w:p>
        </w:tc>
      </w:tr>
      <w:tr w14:paraId="30354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0B8A78C">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0725D00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485E1787">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（1）造成设备或财产损失≥1000万元。</w:t>
            </w:r>
          </w:p>
        </w:tc>
        <w:tc>
          <w:tcPr>
            <w:vMerge w:val="continue"/>
            <w:shd w:val="clear" w:color="auto" w:fill="auto"/>
            <w:vAlign w:val="center"/>
          </w:tcPr>
          <w:p w14:paraId="4C745721">
            <w:pPr>
              <w:widowControl w:val="0"/>
              <w:kinsoku/>
              <w:adjustRightInd/>
              <w:snapToGrid/>
              <w:textAlignment w:val="auto"/>
              <w:rPr>
                <w:rFonts w:hint="eastAsia" w:ascii="仿宋" w:hAnsi="仿宋" w:eastAsia="仿宋" w:cs="仿宋"/>
                <w:snapToGrid/>
                <w:sz w:val="32"/>
                <w:szCs w:val="32"/>
                <w:lang w:val="zh-CN" w:eastAsia="zh-CN" w:bidi="zh-CN"/>
              </w:rPr>
            </w:pPr>
          </w:p>
        </w:tc>
      </w:tr>
      <w:tr w14:paraId="1AC201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686812D">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4BFD1BE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46AD64F8">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（1）造成较大以上电力安全事故。</w:t>
            </w:r>
          </w:p>
        </w:tc>
        <w:tc>
          <w:tcPr>
            <w:vMerge w:val="continue"/>
            <w:shd w:val="clear" w:color="auto" w:fill="auto"/>
            <w:vAlign w:val="center"/>
          </w:tcPr>
          <w:p w14:paraId="2E1F0451">
            <w:pPr>
              <w:widowControl w:val="0"/>
              <w:kinsoku/>
              <w:adjustRightInd/>
              <w:snapToGrid/>
              <w:textAlignment w:val="auto"/>
              <w:rPr>
                <w:rFonts w:hint="eastAsia" w:ascii="仿宋" w:hAnsi="仿宋" w:eastAsia="仿宋" w:cs="仿宋"/>
                <w:snapToGrid/>
                <w:sz w:val="32"/>
                <w:szCs w:val="32"/>
                <w:lang w:val="zh-CN" w:eastAsia="zh-CN" w:bidi="zh-CN"/>
              </w:rPr>
            </w:pPr>
          </w:p>
        </w:tc>
      </w:tr>
      <w:tr w14:paraId="0A1FFC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72FD4E8">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1820C77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7F329F29">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（1）造成大范围环境破坏；</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（2）造成人员死亡、环境恢复困难；</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（3）严重违反国家环境保护法律法规。</w:t>
            </w:r>
          </w:p>
        </w:tc>
        <w:tc>
          <w:tcPr>
            <w:vMerge w:val="continue"/>
            <w:shd w:val="clear" w:color="auto" w:fill="auto"/>
            <w:vAlign w:val="center"/>
          </w:tcPr>
          <w:p w14:paraId="09C30504">
            <w:pPr>
              <w:widowControl w:val="0"/>
              <w:kinsoku/>
              <w:adjustRightInd/>
              <w:snapToGrid/>
              <w:textAlignment w:val="auto"/>
              <w:rPr>
                <w:rFonts w:hint="eastAsia" w:ascii="仿宋" w:hAnsi="仿宋" w:eastAsia="仿宋" w:cs="仿宋"/>
                <w:snapToGrid/>
                <w:sz w:val="32"/>
                <w:szCs w:val="32"/>
                <w:lang w:val="zh-CN" w:eastAsia="zh-CN" w:bidi="zh-CN"/>
              </w:rPr>
            </w:pPr>
          </w:p>
        </w:tc>
      </w:tr>
      <w:tr w14:paraId="311DC7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F7F2A35">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31D252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21E74397">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（1）造成3～9例无法复原的严重职业病；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（2）造成9例以上很难治愈的职业病。</w:t>
            </w:r>
          </w:p>
        </w:tc>
        <w:tc>
          <w:tcPr>
            <w:vMerge w:val="continue"/>
            <w:shd w:val="clear" w:color="auto" w:fill="auto"/>
            <w:vAlign w:val="center"/>
          </w:tcPr>
          <w:p w14:paraId="5C2F14D7">
            <w:pPr>
              <w:widowControl w:val="0"/>
              <w:kinsoku/>
              <w:adjustRightInd/>
              <w:snapToGrid/>
              <w:textAlignment w:val="auto"/>
              <w:rPr>
                <w:rFonts w:hint="eastAsia" w:ascii="仿宋" w:hAnsi="仿宋" w:eastAsia="仿宋" w:cs="仿宋"/>
                <w:snapToGrid/>
                <w:sz w:val="32"/>
                <w:szCs w:val="32"/>
                <w:lang w:val="zh-CN" w:eastAsia="zh-CN" w:bidi="zh-CN"/>
              </w:rPr>
            </w:pPr>
          </w:p>
        </w:tc>
      </w:tr>
      <w:tr w14:paraId="792210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2D30A85A">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061B530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1A938228">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（1）造成1～2人死亡；或重伤3～9人。</w:t>
            </w:r>
          </w:p>
        </w:tc>
        <w:tc>
          <w:tcPr>
            <w:vMerge w:val="restart"/>
            <w:shd w:val="clear" w:color="auto" w:fill="auto"/>
            <w:vAlign w:val="center"/>
          </w:tcPr>
          <w:p w14:paraId="2A75C65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50</w:t>
            </w:r>
          </w:p>
        </w:tc>
      </w:tr>
      <w:tr w14:paraId="415469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E68A5FC">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115130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2DE1DDDC">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（1）造成设备或财产损失在100万元到1000万元之间。</w:t>
            </w:r>
          </w:p>
        </w:tc>
        <w:tc>
          <w:tcPr>
            <w:vMerge w:val="continue"/>
            <w:shd w:val="clear" w:color="auto" w:fill="auto"/>
            <w:vAlign w:val="center"/>
          </w:tcPr>
          <w:p w14:paraId="5C7726A7">
            <w:pPr>
              <w:widowControl w:val="0"/>
              <w:kinsoku/>
              <w:adjustRightInd/>
              <w:snapToGrid/>
              <w:textAlignment w:val="auto"/>
              <w:rPr>
                <w:rFonts w:hint="eastAsia" w:ascii="仿宋" w:hAnsi="仿宋" w:eastAsia="仿宋" w:cs="仿宋"/>
                <w:snapToGrid/>
                <w:sz w:val="32"/>
                <w:szCs w:val="32"/>
                <w:lang w:val="zh-CN" w:eastAsia="zh-CN" w:bidi="zh-CN"/>
              </w:rPr>
            </w:pPr>
          </w:p>
        </w:tc>
      </w:tr>
      <w:tr w14:paraId="6E05BD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293D673">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23C9DD3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2FCCB9F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（1）造成一般电力安全事故且中断安全记录。</w:t>
            </w:r>
          </w:p>
        </w:tc>
        <w:tc>
          <w:tcPr>
            <w:vMerge w:val="continue"/>
            <w:shd w:val="clear" w:color="auto" w:fill="auto"/>
            <w:vAlign w:val="center"/>
          </w:tcPr>
          <w:p w14:paraId="463FE13B">
            <w:pPr>
              <w:widowControl w:val="0"/>
              <w:kinsoku/>
              <w:adjustRightInd/>
              <w:snapToGrid/>
              <w:textAlignment w:val="auto"/>
              <w:rPr>
                <w:rFonts w:hint="eastAsia" w:ascii="仿宋" w:hAnsi="仿宋" w:eastAsia="仿宋" w:cs="仿宋"/>
                <w:snapToGrid/>
                <w:sz w:val="32"/>
                <w:szCs w:val="32"/>
                <w:lang w:val="zh-CN" w:eastAsia="zh-CN" w:bidi="zh-CN"/>
              </w:rPr>
            </w:pPr>
          </w:p>
        </w:tc>
      </w:tr>
      <w:tr w14:paraId="690883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5FEE360">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076E828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04387F22">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（1）造成较大范围的环境破坏；</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（2）影响后果可导致急性疾病或重大伤残，居民需要撤离；</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（3）政府要求整顿。</w:t>
            </w:r>
          </w:p>
        </w:tc>
        <w:tc>
          <w:tcPr>
            <w:vMerge w:val="continue"/>
            <w:shd w:val="clear" w:color="auto" w:fill="auto"/>
            <w:vAlign w:val="center"/>
          </w:tcPr>
          <w:p w14:paraId="5BC0CFDB">
            <w:pPr>
              <w:widowControl w:val="0"/>
              <w:kinsoku/>
              <w:adjustRightInd/>
              <w:snapToGrid/>
              <w:textAlignment w:val="auto"/>
              <w:rPr>
                <w:rFonts w:hint="eastAsia" w:ascii="仿宋" w:hAnsi="仿宋" w:eastAsia="仿宋" w:cs="仿宋"/>
                <w:snapToGrid/>
                <w:sz w:val="32"/>
                <w:szCs w:val="32"/>
                <w:lang w:val="zh-CN" w:eastAsia="zh-CN" w:bidi="zh-CN"/>
              </w:rPr>
            </w:pPr>
          </w:p>
        </w:tc>
      </w:tr>
      <w:tr w14:paraId="486DA1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C82F934">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FEE164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2C00F38A">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（1）造成1～2例无法复原的严重职业病；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（2）造成3～9例以上很难治愈的职业病。</w:t>
            </w:r>
          </w:p>
        </w:tc>
        <w:tc>
          <w:tcPr>
            <w:vMerge w:val="continue"/>
            <w:shd w:val="clear" w:color="auto" w:fill="auto"/>
            <w:vAlign w:val="center"/>
          </w:tcPr>
          <w:p w14:paraId="3F5B2E74">
            <w:pPr>
              <w:widowControl w:val="0"/>
              <w:kinsoku/>
              <w:adjustRightInd/>
              <w:snapToGrid/>
              <w:textAlignment w:val="auto"/>
              <w:rPr>
                <w:rFonts w:hint="eastAsia" w:ascii="仿宋" w:hAnsi="仿宋" w:eastAsia="仿宋" w:cs="仿宋"/>
                <w:snapToGrid/>
                <w:sz w:val="32"/>
                <w:szCs w:val="32"/>
                <w:lang w:val="zh-CN" w:eastAsia="zh-CN" w:bidi="zh-CN"/>
              </w:rPr>
            </w:pPr>
          </w:p>
        </w:tc>
      </w:tr>
      <w:tr w14:paraId="70A98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70D8A66">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396655B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7B12F2A8">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（1）造成重伤1～2人。</w:t>
            </w:r>
          </w:p>
        </w:tc>
        <w:tc>
          <w:tcPr>
            <w:vMerge w:val="restart"/>
            <w:shd w:val="clear" w:color="auto" w:fill="auto"/>
            <w:vAlign w:val="center"/>
          </w:tcPr>
          <w:p w14:paraId="0DD8A07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25</w:t>
            </w:r>
          </w:p>
        </w:tc>
      </w:tr>
      <w:tr w14:paraId="7B137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B8724D2">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1A19C30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7C1A160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（1）造成设备或财产损失在50万元到100万元之间。</w:t>
            </w:r>
          </w:p>
        </w:tc>
        <w:tc>
          <w:tcPr>
            <w:vMerge w:val="continue"/>
            <w:shd w:val="clear" w:color="auto" w:fill="auto"/>
            <w:vAlign w:val="center"/>
          </w:tcPr>
          <w:p w14:paraId="381D198F">
            <w:pPr>
              <w:widowControl w:val="0"/>
              <w:kinsoku/>
              <w:adjustRightInd/>
              <w:snapToGrid/>
              <w:textAlignment w:val="auto"/>
              <w:rPr>
                <w:rFonts w:hint="eastAsia" w:ascii="仿宋" w:hAnsi="仿宋" w:eastAsia="仿宋" w:cs="仿宋"/>
                <w:snapToGrid/>
                <w:sz w:val="32"/>
                <w:szCs w:val="32"/>
                <w:lang w:val="zh-CN" w:eastAsia="zh-CN" w:bidi="zh-CN"/>
              </w:rPr>
            </w:pPr>
          </w:p>
        </w:tc>
      </w:tr>
      <w:tr w14:paraId="230074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9971AE1">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0DD41F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49F58796">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（1）造成内部统计事故。</w:t>
            </w:r>
          </w:p>
        </w:tc>
        <w:tc>
          <w:tcPr>
            <w:vMerge w:val="continue"/>
            <w:shd w:val="clear" w:color="auto" w:fill="auto"/>
            <w:vAlign w:val="center"/>
          </w:tcPr>
          <w:p w14:paraId="3B2197FC">
            <w:pPr>
              <w:widowControl w:val="0"/>
              <w:kinsoku/>
              <w:adjustRightInd/>
              <w:snapToGrid/>
              <w:textAlignment w:val="auto"/>
              <w:rPr>
                <w:rFonts w:hint="eastAsia" w:ascii="仿宋" w:hAnsi="仿宋" w:eastAsia="仿宋" w:cs="仿宋"/>
                <w:snapToGrid/>
                <w:sz w:val="32"/>
                <w:szCs w:val="32"/>
                <w:lang w:val="zh-CN" w:eastAsia="zh-CN" w:bidi="zh-CN"/>
              </w:rPr>
            </w:pPr>
          </w:p>
        </w:tc>
      </w:tr>
      <w:tr w14:paraId="62C90B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B159353">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2F86795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487286AD">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（1）影响到周边居民及生态环境，引起居民抗争。</w:t>
            </w:r>
          </w:p>
        </w:tc>
        <w:tc>
          <w:tcPr>
            <w:vMerge w:val="continue"/>
            <w:shd w:val="clear" w:color="auto" w:fill="auto"/>
            <w:vAlign w:val="center"/>
          </w:tcPr>
          <w:p w14:paraId="3B08FF9F">
            <w:pPr>
              <w:widowControl w:val="0"/>
              <w:kinsoku/>
              <w:adjustRightInd/>
              <w:snapToGrid/>
              <w:textAlignment w:val="auto"/>
              <w:rPr>
                <w:rFonts w:hint="eastAsia" w:ascii="仿宋" w:hAnsi="仿宋" w:eastAsia="仿宋" w:cs="仿宋"/>
                <w:snapToGrid/>
                <w:sz w:val="32"/>
                <w:szCs w:val="32"/>
                <w:lang w:val="zh-CN" w:eastAsia="zh-CN" w:bidi="zh-CN"/>
              </w:rPr>
            </w:pPr>
          </w:p>
        </w:tc>
      </w:tr>
      <w:tr w14:paraId="09F710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FE859BE">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EBB92F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3CAFE870">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（1）造成1～2例难治愈或造成3～9例可治愈的职业病；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（2）造成9例以上与职业有关的疾病。</w:t>
            </w:r>
          </w:p>
        </w:tc>
        <w:tc>
          <w:tcPr>
            <w:vMerge w:val="continue"/>
            <w:shd w:val="clear" w:color="auto" w:fill="auto"/>
            <w:vAlign w:val="center"/>
          </w:tcPr>
          <w:p w14:paraId="7971D3AA">
            <w:pPr>
              <w:widowControl w:val="0"/>
              <w:kinsoku/>
              <w:adjustRightInd/>
              <w:snapToGrid/>
              <w:textAlignment w:val="auto"/>
              <w:rPr>
                <w:rFonts w:hint="eastAsia" w:ascii="仿宋" w:hAnsi="仿宋" w:eastAsia="仿宋" w:cs="仿宋"/>
                <w:snapToGrid/>
                <w:sz w:val="32"/>
                <w:szCs w:val="32"/>
                <w:lang w:val="zh-CN" w:eastAsia="zh-CN" w:bidi="zh-CN"/>
              </w:rPr>
            </w:pPr>
          </w:p>
        </w:tc>
      </w:tr>
      <w:tr w14:paraId="10B463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EC50D29">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297E3E0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185215D0">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（1）造成轻伤3人以上。</w:t>
            </w:r>
          </w:p>
        </w:tc>
        <w:tc>
          <w:tcPr>
            <w:vMerge w:val="restart"/>
            <w:shd w:val="clear" w:color="auto" w:fill="auto"/>
            <w:vAlign w:val="center"/>
          </w:tcPr>
          <w:p w14:paraId="534692D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15</w:t>
            </w:r>
          </w:p>
        </w:tc>
      </w:tr>
      <w:tr w14:paraId="109931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783E26F">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4D35944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07AB657D">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（1）造成设备或财产损失在10万元到50万元之间。</w:t>
            </w:r>
          </w:p>
        </w:tc>
        <w:tc>
          <w:tcPr>
            <w:vMerge w:val="continue"/>
            <w:shd w:val="clear" w:color="auto" w:fill="auto"/>
            <w:vAlign w:val="center"/>
          </w:tcPr>
          <w:p w14:paraId="23118CC3">
            <w:pPr>
              <w:widowControl w:val="0"/>
              <w:kinsoku/>
              <w:adjustRightInd/>
              <w:snapToGrid/>
              <w:textAlignment w:val="auto"/>
              <w:rPr>
                <w:rFonts w:hint="eastAsia" w:ascii="仿宋" w:hAnsi="仿宋" w:eastAsia="仿宋" w:cs="仿宋"/>
                <w:snapToGrid/>
                <w:sz w:val="32"/>
                <w:szCs w:val="32"/>
                <w:lang w:val="zh-CN" w:eastAsia="zh-CN" w:bidi="zh-CN"/>
              </w:rPr>
            </w:pPr>
          </w:p>
        </w:tc>
      </w:tr>
      <w:tr w14:paraId="2AF97B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3389FE9">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469D6F9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1B1247D8">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（1）造成设备一类障碍。</w:t>
            </w:r>
          </w:p>
        </w:tc>
        <w:tc>
          <w:tcPr>
            <w:vMerge w:val="continue"/>
            <w:shd w:val="clear" w:color="auto" w:fill="auto"/>
            <w:vAlign w:val="center"/>
          </w:tcPr>
          <w:p w14:paraId="36E1D90F">
            <w:pPr>
              <w:widowControl w:val="0"/>
              <w:kinsoku/>
              <w:adjustRightInd/>
              <w:snapToGrid/>
              <w:textAlignment w:val="auto"/>
              <w:rPr>
                <w:rFonts w:hint="eastAsia" w:ascii="仿宋" w:hAnsi="仿宋" w:eastAsia="仿宋" w:cs="仿宋"/>
                <w:snapToGrid/>
                <w:sz w:val="32"/>
                <w:szCs w:val="32"/>
                <w:lang w:val="zh-CN" w:eastAsia="zh-CN" w:bidi="zh-CN"/>
              </w:rPr>
            </w:pPr>
          </w:p>
        </w:tc>
      </w:tr>
      <w:tr w14:paraId="3168A7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773C254">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0B07204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5831DB3F">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（1）对周边居民及环境有些影响，引起居民抱怨、投诉。</w:t>
            </w:r>
          </w:p>
        </w:tc>
        <w:tc>
          <w:tcPr>
            <w:vMerge w:val="continue"/>
            <w:shd w:val="clear" w:color="auto" w:fill="auto"/>
            <w:vAlign w:val="center"/>
          </w:tcPr>
          <w:p w14:paraId="0F1ACF3E">
            <w:pPr>
              <w:widowControl w:val="0"/>
              <w:kinsoku/>
              <w:adjustRightInd/>
              <w:snapToGrid/>
              <w:textAlignment w:val="auto"/>
              <w:rPr>
                <w:rFonts w:hint="eastAsia" w:ascii="仿宋" w:hAnsi="仿宋" w:eastAsia="仿宋" w:cs="仿宋"/>
                <w:snapToGrid/>
                <w:sz w:val="32"/>
                <w:szCs w:val="32"/>
                <w:lang w:val="zh-CN" w:eastAsia="zh-CN" w:bidi="zh-CN"/>
              </w:rPr>
            </w:pPr>
          </w:p>
        </w:tc>
      </w:tr>
      <w:tr w14:paraId="326021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2A5D1A6">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A8549C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1A7D514F">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（1）造成1～2例可治愈的职业病；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（2）造成3～9例与职业有关的疾病。</w:t>
            </w:r>
          </w:p>
        </w:tc>
        <w:tc>
          <w:tcPr>
            <w:vMerge w:val="continue"/>
            <w:shd w:val="clear" w:color="auto" w:fill="auto"/>
            <w:vAlign w:val="center"/>
          </w:tcPr>
          <w:p w14:paraId="135E0587">
            <w:pPr>
              <w:widowControl w:val="0"/>
              <w:kinsoku/>
              <w:adjustRightInd/>
              <w:snapToGrid/>
              <w:textAlignment w:val="auto"/>
              <w:rPr>
                <w:rFonts w:hint="eastAsia" w:ascii="仿宋" w:hAnsi="仿宋" w:eastAsia="仿宋" w:cs="仿宋"/>
                <w:snapToGrid/>
                <w:sz w:val="32"/>
                <w:szCs w:val="32"/>
                <w:lang w:val="zh-CN" w:eastAsia="zh-CN" w:bidi="zh-CN"/>
              </w:rPr>
            </w:pPr>
          </w:p>
        </w:tc>
      </w:tr>
      <w:tr w14:paraId="2AB33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EF7074C">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4A9FE8F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3A1ADC41">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（1）造成轻伤1～2人。</w:t>
            </w:r>
          </w:p>
        </w:tc>
        <w:tc>
          <w:tcPr>
            <w:vMerge w:val="restart"/>
            <w:shd w:val="clear" w:color="auto" w:fill="auto"/>
            <w:vAlign w:val="center"/>
          </w:tcPr>
          <w:p w14:paraId="0424D45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r>
      <w:tr w14:paraId="5752FE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A7E8592">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18DA5BD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70F1237C">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（1）造成设备或财产损失在2万元到10万元之间。</w:t>
            </w:r>
          </w:p>
        </w:tc>
        <w:tc>
          <w:tcPr>
            <w:vMerge w:val="continue"/>
            <w:shd w:val="clear" w:color="auto" w:fill="auto"/>
            <w:vAlign w:val="center"/>
          </w:tcPr>
          <w:p w14:paraId="74A08653">
            <w:pPr>
              <w:widowControl w:val="0"/>
              <w:kinsoku/>
              <w:adjustRightInd/>
              <w:snapToGrid/>
              <w:textAlignment w:val="auto"/>
              <w:rPr>
                <w:rFonts w:hint="eastAsia" w:ascii="仿宋" w:hAnsi="仿宋" w:eastAsia="仿宋" w:cs="仿宋"/>
                <w:snapToGrid/>
                <w:sz w:val="32"/>
                <w:szCs w:val="32"/>
                <w:lang w:val="zh-CN" w:eastAsia="zh-CN" w:bidi="zh-CN"/>
              </w:rPr>
            </w:pPr>
          </w:p>
        </w:tc>
      </w:tr>
      <w:tr w14:paraId="7F775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5B2268D">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B5C61E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44FCABF6">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（1）造成设备二类障碍。</w:t>
            </w:r>
          </w:p>
        </w:tc>
        <w:tc>
          <w:tcPr>
            <w:vMerge w:val="continue"/>
            <w:shd w:val="clear" w:color="auto" w:fill="auto"/>
            <w:vAlign w:val="center"/>
          </w:tcPr>
          <w:p w14:paraId="01219179">
            <w:pPr>
              <w:widowControl w:val="0"/>
              <w:kinsoku/>
              <w:adjustRightInd/>
              <w:snapToGrid/>
              <w:textAlignment w:val="auto"/>
              <w:rPr>
                <w:rFonts w:hint="eastAsia" w:ascii="仿宋" w:hAnsi="仿宋" w:eastAsia="仿宋" w:cs="仿宋"/>
                <w:snapToGrid/>
                <w:sz w:val="32"/>
                <w:szCs w:val="32"/>
                <w:lang w:val="zh-CN" w:eastAsia="zh-CN" w:bidi="zh-CN"/>
              </w:rPr>
            </w:pPr>
          </w:p>
        </w:tc>
      </w:tr>
      <w:tr w14:paraId="1C7BC5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37DAE6C">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4618274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2A76D4C0">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（1）轻度影响到周边居民及小范围（现场）生态环境。</w:t>
            </w:r>
          </w:p>
        </w:tc>
        <w:tc>
          <w:tcPr>
            <w:vMerge w:val="continue"/>
            <w:shd w:val="clear" w:color="auto" w:fill="auto"/>
            <w:vAlign w:val="center"/>
          </w:tcPr>
          <w:p w14:paraId="275527AB">
            <w:pPr>
              <w:widowControl w:val="0"/>
              <w:kinsoku/>
              <w:adjustRightInd/>
              <w:snapToGrid/>
              <w:textAlignment w:val="auto"/>
              <w:rPr>
                <w:rFonts w:hint="eastAsia" w:ascii="仿宋" w:hAnsi="仿宋" w:eastAsia="仿宋" w:cs="仿宋"/>
                <w:snapToGrid/>
                <w:sz w:val="32"/>
                <w:szCs w:val="32"/>
                <w:lang w:val="zh-CN" w:eastAsia="zh-CN" w:bidi="zh-CN"/>
              </w:rPr>
            </w:pPr>
          </w:p>
        </w:tc>
      </w:tr>
      <w:tr w14:paraId="4DC12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D117251">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14D8033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3AC62AF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（1）造成1～2例与职业有关的疾病；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（2）造成3～9例有影响健康的事件。</w:t>
            </w:r>
          </w:p>
        </w:tc>
        <w:tc>
          <w:tcPr>
            <w:vMerge w:val="continue"/>
            <w:shd w:val="clear" w:color="auto" w:fill="auto"/>
            <w:vAlign w:val="center"/>
          </w:tcPr>
          <w:p w14:paraId="798B92CF">
            <w:pPr>
              <w:widowControl w:val="0"/>
              <w:kinsoku/>
              <w:adjustRightInd/>
              <w:snapToGrid/>
              <w:textAlignment w:val="auto"/>
              <w:rPr>
                <w:rFonts w:hint="eastAsia" w:ascii="仿宋" w:hAnsi="仿宋" w:eastAsia="仿宋" w:cs="仿宋"/>
                <w:snapToGrid/>
                <w:sz w:val="32"/>
                <w:szCs w:val="32"/>
                <w:lang w:val="zh-CN" w:eastAsia="zh-CN" w:bidi="zh-CN"/>
              </w:rPr>
            </w:pPr>
          </w:p>
        </w:tc>
      </w:tr>
      <w:tr w14:paraId="741A98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1BCB4B85">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6ACCF35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44F5C266">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（1）可能造成人员轻微的伤害（小的割伤、擦伤、撞伤）。</w:t>
            </w:r>
          </w:p>
        </w:tc>
        <w:tc>
          <w:tcPr>
            <w:vMerge w:val="restart"/>
            <w:shd w:val="clear" w:color="auto" w:fill="auto"/>
            <w:vAlign w:val="center"/>
          </w:tcPr>
          <w:p w14:paraId="4B11A91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727A81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887C034">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BBD955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76F80B32">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（1）可能造成设备或财产损失在2万元以下。</w:t>
            </w:r>
          </w:p>
        </w:tc>
        <w:tc>
          <w:tcPr>
            <w:vMerge w:val="continue"/>
            <w:shd w:val="clear" w:color="auto" w:fill="auto"/>
            <w:vAlign w:val="center"/>
          </w:tcPr>
          <w:p w14:paraId="0AAD8EFE">
            <w:pPr>
              <w:widowControl w:val="0"/>
              <w:kinsoku/>
              <w:adjustRightInd/>
              <w:snapToGrid/>
              <w:textAlignment w:val="auto"/>
              <w:rPr>
                <w:rFonts w:hint="eastAsia" w:ascii="仿宋" w:hAnsi="仿宋" w:eastAsia="仿宋" w:cs="仿宋"/>
                <w:snapToGrid/>
                <w:sz w:val="32"/>
                <w:szCs w:val="32"/>
                <w:lang w:val="zh-CN" w:eastAsia="zh-CN" w:bidi="zh-CN"/>
              </w:rPr>
            </w:pPr>
          </w:p>
        </w:tc>
      </w:tr>
      <w:tr w14:paraId="7887F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8D32730">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FCC4B8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7D1EBF1C">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（1）造成设备异常。</w:t>
            </w:r>
          </w:p>
        </w:tc>
        <w:tc>
          <w:tcPr>
            <w:vMerge w:val="continue"/>
            <w:shd w:val="clear" w:color="auto" w:fill="auto"/>
            <w:vAlign w:val="center"/>
          </w:tcPr>
          <w:p w14:paraId="75A443F0">
            <w:pPr>
              <w:widowControl w:val="0"/>
              <w:kinsoku/>
              <w:adjustRightInd/>
              <w:snapToGrid/>
              <w:textAlignment w:val="auto"/>
              <w:rPr>
                <w:rFonts w:hint="eastAsia" w:ascii="仿宋" w:hAnsi="仿宋" w:eastAsia="仿宋" w:cs="仿宋"/>
                <w:snapToGrid/>
                <w:sz w:val="32"/>
                <w:szCs w:val="32"/>
                <w:lang w:val="zh-CN" w:eastAsia="zh-CN" w:bidi="zh-CN"/>
              </w:rPr>
            </w:pPr>
          </w:p>
        </w:tc>
      </w:tr>
      <w:tr w14:paraId="678368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4695C37">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29D0D19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35D37A2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（1）对现场景观有轻度影响。</w:t>
            </w:r>
          </w:p>
        </w:tc>
        <w:tc>
          <w:tcPr>
            <w:vMerge w:val="continue"/>
            <w:shd w:val="clear" w:color="auto" w:fill="auto"/>
            <w:vAlign w:val="center"/>
          </w:tcPr>
          <w:p w14:paraId="5347E660">
            <w:pPr>
              <w:widowControl w:val="0"/>
              <w:kinsoku/>
              <w:adjustRightInd/>
              <w:snapToGrid/>
              <w:textAlignment w:val="auto"/>
              <w:rPr>
                <w:rFonts w:hint="eastAsia" w:ascii="仿宋" w:hAnsi="仿宋" w:eastAsia="仿宋" w:cs="仿宋"/>
                <w:snapToGrid/>
                <w:sz w:val="32"/>
                <w:szCs w:val="32"/>
                <w:lang w:val="zh-CN" w:eastAsia="zh-CN" w:bidi="zh-CN"/>
              </w:rPr>
            </w:pPr>
          </w:p>
        </w:tc>
      </w:tr>
      <w:tr w14:paraId="69FBCE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3142F83">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081373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24896C97">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（1）可能造成1～2例有健康影响的事件。</w:t>
            </w:r>
          </w:p>
        </w:tc>
        <w:tc>
          <w:tcPr>
            <w:vMerge w:val="continue"/>
            <w:shd w:val="clear" w:color="auto" w:fill="auto"/>
            <w:vAlign w:val="center"/>
          </w:tcPr>
          <w:p w14:paraId="497F5D92">
            <w:pPr>
              <w:widowControl w:val="0"/>
              <w:kinsoku/>
              <w:adjustRightInd/>
              <w:snapToGrid/>
              <w:textAlignment w:val="auto"/>
              <w:rPr>
                <w:rFonts w:hint="eastAsia" w:ascii="仿宋" w:hAnsi="仿宋" w:eastAsia="仿宋" w:cs="仿宋"/>
                <w:snapToGrid/>
                <w:sz w:val="32"/>
                <w:szCs w:val="32"/>
                <w:lang w:val="zh-CN" w:eastAsia="zh-CN" w:bidi="zh-CN"/>
              </w:rPr>
            </w:pPr>
          </w:p>
        </w:tc>
      </w:tr>
    </w:tbl>
    <w:p w14:paraId="0798DE8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eastAsia" w:ascii="仿宋" w:hAnsi="仿宋" w:eastAsia="仿宋" w:cs="仿宋"/>
          <w:b/>
          <w:bCs/>
          <w:sz w:val="32"/>
          <w:szCs w:val="32"/>
          <w:lang w:val="zh-CN" w:eastAsia="zh-CN" w:bidi="zh-CN"/>
        </w:rPr>
      </w:pPr>
    </w:p>
    <w:p w14:paraId="58FDA6D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表4</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风险等级（D=L×E×C）标准</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1620"/>
        <w:gridCol w:w="2736"/>
        <w:gridCol w:w="4089"/>
        <w:gridCol w:w="77"/>
      </w:tblGrid>
      <w:tr w14:paraId="26B34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1623" w:type="dxa"/>
            <w:shd w:val="clear" w:color="auto" w:fill="auto"/>
            <w:vAlign w:val="center"/>
          </w:tcPr>
          <w:p w14:paraId="2982FEE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tcW w:w="2742" w:type="dxa"/>
            <w:shd w:val="clear" w:color="auto" w:fill="auto"/>
            <w:vAlign w:val="center"/>
          </w:tcPr>
          <w:p w14:paraId="1671C0D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风险等级</w:t>
            </w:r>
          </w:p>
        </w:tc>
        <w:tc>
          <w:tcPr>
            <w:tcW w:w="4176" w:type="dxa"/>
            <w:gridSpan w:val="2"/>
            <w:shd w:val="clear" w:color="auto" w:fill="auto"/>
            <w:vAlign w:val="center"/>
          </w:tcPr>
          <w:p w14:paraId="1BAEC8A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判定条件</w:t>
            </w:r>
          </w:p>
        </w:tc>
      </w:tr>
      <w:tr w14:paraId="07B4C7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gridAfter w:val="1"/>
          <w:wAfter w:w="77" w:type="dxa"/>
          <w:trHeight w:val="857" w:hRule="atLeast"/>
          <w:jc w:val="center"/>
        </w:trPr>
        <w:tc>
          <w:tcPr>
            <w:tcW w:w="1623" w:type="dxa"/>
            <w:shd w:val="clear" w:color="auto" w:fill="auto"/>
            <w:vAlign w:val="center"/>
          </w:tcPr>
          <w:p w14:paraId="351FEFD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tcW w:w="2742" w:type="dxa"/>
            <w:shd w:val="clear" w:color="auto" w:fill="auto"/>
            <w:vAlign w:val="center"/>
          </w:tcPr>
          <w:p w14:paraId="1BDE65B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重大风险</w:t>
            </w:r>
          </w:p>
        </w:tc>
        <w:tc>
          <w:tcPr>
            <w:tcW w:w="4099" w:type="dxa"/>
            <w:shd w:val="clear" w:color="auto" w:fill="auto"/>
            <w:vAlign w:val="center"/>
          </w:tcPr>
          <w:p w14:paraId="4E05B2B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D≥400</w:t>
            </w:r>
          </w:p>
        </w:tc>
      </w:tr>
      <w:tr w14:paraId="22F549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gridAfter w:val="1"/>
          <w:wAfter w:w="77" w:type="dxa"/>
          <w:trHeight w:val="857" w:hRule="atLeast"/>
          <w:jc w:val="center"/>
        </w:trPr>
        <w:tc>
          <w:tcPr>
            <w:tcW w:w="1623" w:type="dxa"/>
            <w:shd w:val="clear" w:color="auto" w:fill="auto"/>
            <w:vAlign w:val="center"/>
          </w:tcPr>
          <w:p w14:paraId="711DE79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tcW w:w="2742" w:type="dxa"/>
            <w:shd w:val="clear" w:color="auto" w:fill="auto"/>
            <w:vAlign w:val="center"/>
          </w:tcPr>
          <w:p w14:paraId="5F0C5F2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较大风险</w:t>
            </w:r>
          </w:p>
        </w:tc>
        <w:tc>
          <w:tcPr>
            <w:tcW w:w="4099" w:type="dxa"/>
            <w:shd w:val="clear" w:color="auto" w:fill="auto"/>
            <w:vAlign w:val="center"/>
          </w:tcPr>
          <w:p w14:paraId="3B69FA5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200≤D＜400</w:t>
            </w:r>
          </w:p>
        </w:tc>
      </w:tr>
      <w:tr w14:paraId="544EB9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gridAfter w:val="1"/>
          <w:wAfter w:w="77" w:type="dxa"/>
          <w:trHeight w:val="857" w:hRule="atLeast"/>
          <w:jc w:val="center"/>
        </w:trPr>
        <w:tc>
          <w:tcPr>
            <w:tcW w:w="1623" w:type="dxa"/>
            <w:shd w:val="clear" w:color="auto" w:fill="auto"/>
            <w:vAlign w:val="center"/>
          </w:tcPr>
          <w:p w14:paraId="466869F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tcW w:w="2742" w:type="dxa"/>
            <w:shd w:val="clear" w:color="auto" w:fill="auto"/>
            <w:vAlign w:val="center"/>
          </w:tcPr>
          <w:p w14:paraId="1069D58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一般风险</w:t>
            </w:r>
          </w:p>
        </w:tc>
        <w:tc>
          <w:tcPr>
            <w:tcW w:w="4099" w:type="dxa"/>
            <w:shd w:val="clear" w:color="auto" w:fill="auto"/>
            <w:vAlign w:val="center"/>
          </w:tcPr>
          <w:p w14:paraId="75AD8FE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70≤D＜200</w:t>
            </w:r>
          </w:p>
        </w:tc>
      </w:tr>
      <w:tr w14:paraId="760521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gridAfter w:val="1"/>
          <w:wAfter w:w="77" w:type="dxa"/>
          <w:trHeight w:val="888" w:hRule="atLeast"/>
          <w:jc w:val="center"/>
        </w:trPr>
        <w:tc>
          <w:tcPr>
            <w:tcW w:w="1623" w:type="dxa"/>
            <w:shd w:val="clear" w:color="auto" w:fill="auto"/>
            <w:vAlign w:val="center"/>
          </w:tcPr>
          <w:p w14:paraId="28E84ED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tcW w:w="2742" w:type="dxa"/>
            <w:shd w:val="clear" w:color="auto" w:fill="auto"/>
            <w:vAlign w:val="center"/>
          </w:tcPr>
          <w:p w14:paraId="3C1A778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低风险</w:t>
            </w:r>
          </w:p>
        </w:tc>
        <w:tc>
          <w:tcPr>
            <w:tcW w:w="4099" w:type="dxa"/>
            <w:shd w:val="clear" w:color="auto" w:fill="auto"/>
            <w:vAlign w:val="center"/>
          </w:tcPr>
          <w:p w14:paraId="687C4A9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D＜70</w:t>
            </w:r>
          </w:p>
        </w:tc>
      </w:tr>
    </w:tbl>
    <w:p w14:paraId="5C92A517">
      <w:pPr>
        <w:widowControl w:val="0"/>
        <w:kinsoku/>
        <w:adjustRightInd/>
        <w:snapToGrid/>
        <w:textAlignment w:val="auto"/>
        <w:rPr>
          <w:rFonts w:ascii="宋体" w:hAnsi="宋体" w:eastAsia="宋体" w:cs="宋体"/>
          <w:snapToGrid/>
          <w:sz w:val="22"/>
          <w:szCs w:val="22"/>
          <w:lang w:val="zh-CN" w:eastAsia="zh-CN" w:bidi="zh-CN"/>
        </w:rPr>
      </w:pPr>
    </w:p>
    <w:p w14:paraId="74BDA939">
      <w:pPr>
        <w:widowControl w:val="0"/>
        <w:autoSpaceDE w:val="0"/>
        <w:autoSpaceDN w:val="0"/>
        <w:ind w:left="108" w:firstLine="535"/>
        <w:rPr>
          <w:rFonts w:hint="eastAsia" w:ascii="宋体" w:hAnsi="宋体" w:eastAsia="宋体" w:cs="宋体"/>
          <w:sz w:val="28"/>
          <w:szCs w:val="28"/>
          <w:lang w:val="en-US" w:eastAsia="zh-CN" w:bidi="zh-CN"/>
        </w:rPr>
      </w:pPr>
    </w:p>
    <w:p w14:paraId="764C8ABE">
      <w:pPr>
        <w:pStyle w:val="5"/>
        <w:keepNext w:val="0"/>
        <w:keepLines w:val="0"/>
        <w:pageBreakBefore w:val="0"/>
        <w:widowControl w:val="0"/>
        <w:kinsoku/>
        <w:wordWrap/>
        <w:overflowPunct/>
        <w:topLinePunct w:val="0"/>
        <w:autoSpaceDE w:val="0"/>
        <w:autoSpaceDN w:val="0"/>
        <w:bidi w:val="0"/>
        <w:adjustRightInd w:val="0"/>
        <w:snapToGrid w:val="0"/>
        <w:ind w:left="0" w:leftChars="0" w:firstLine="640" w:firstLineChars="200"/>
        <w:jc w:val="both"/>
        <w:textAlignment w:val="baseline"/>
        <w:rPr>
          <w:rFonts w:hint="eastAsia" w:ascii="仿宋" w:hAnsi="仿宋" w:eastAsia="仿宋" w:cs="仿宋"/>
          <w:b w:val="0"/>
          <w:bCs w:val="0"/>
          <w:spacing w:val="0"/>
          <w:sz w:val="32"/>
          <w:szCs w:val="32"/>
          <w:lang w:val="zh-CN" w:eastAsia="zh-CN" w:bidi="zh-CN"/>
        </w:rPr>
      </w:pPr>
    </w:p>
    <w:sectPr>
      <w:footerReference r:id="rId5" w:type="default"/>
      <w:pgSz w:w="11906" w:h="16838"/>
      <w:pgMar w:top="1440" w:right="1800" w:bottom="1440" w:left="1800" w:header="720" w:footer="72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0E5F1E-C317-42E9-B3FE-890D49BFF04C}"/>
  </w:font>
  <w:font w:name="黑体">
    <w:panose1 w:val="02010609060101010101"/>
    <w:charset w:val="86"/>
    <w:family w:val="auto"/>
    <w:pitch w:val="default"/>
    <w:sig w:usb0="800002BF" w:usb1="38CF7CFA" w:usb2="00000016" w:usb3="00000000" w:csb0="00040001" w:csb1="00000000"/>
    <w:embedRegular r:id="rId2" w:fontKey="{A31327E4-04C8-4A9E-8813-9C3D0B7438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3" w:fontKey="{244C8EDF-4CEB-4927-8C72-38870C838D11}"/>
  </w:font>
  <w:font w:name="仿宋_GB2312">
    <w:panose1 w:val="02010609030101010101"/>
    <w:charset w:val="86"/>
    <w:family w:val="auto"/>
    <w:pitch w:val="default"/>
    <w:sig w:usb0="00000001" w:usb1="080E0000" w:usb2="00000000" w:usb3="00000000" w:csb0="00040000" w:csb1="00000000"/>
    <w:embedRegular r:id="rId4" w:fontKey="{718A1CAD-DB16-4CD3-90B8-B0682CB04363}"/>
  </w:font>
  <w:font w:name="仿宋">
    <w:panose1 w:val="02010609060101010101"/>
    <w:charset w:val="86"/>
    <w:family w:val="modern"/>
    <w:pitch w:val="default"/>
    <w:sig w:usb0="800002BF" w:usb1="38CF7CFA" w:usb2="00000016" w:usb3="00000000" w:csb0="00040001" w:csb1="00000000"/>
    <w:embedRegular r:id="rId5" w:fontKey="{2F8E214A-B4AC-409F-97D6-EFE0A2BB64D0}"/>
  </w:font>
  <w:font w:name="方正小标宋简体">
    <w:panose1 w:val="02010600010101010101"/>
    <w:charset w:val="86"/>
    <w:family w:val="auto"/>
    <w:pitch w:val="default"/>
    <w:sig w:usb0="00000001" w:usb1="080E0000" w:usb2="00000000" w:usb3="00000000" w:csb0="00040000" w:csb1="00000000"/>
    <w:embedRegular r:id="rId6" w:fontKey="{8159D592-7D1A-45AF-A4FB-3BC9887C6E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7491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E6B9">
    <w:pPr>
      <w:pStyle w:val="6"/>
    </w:pPr>
    <w:r>
      <mc:AlternateContent>
        <mc:Choice Requires="wps">
          <w:drawing>
            <wp:anchor distT="0" distB="0" distL="114300" distR="114300" simplePos="0" relativeHeight="251659264" behindDoc="0" locked="0" layoutInCell="1" allowOverlap="1">
              <wp:simplePos x="0" y="0"/>
              <wp:positionH relativeFrom="margin">
                <wp:posOffset>4405630</wp:posOffset>
              </wp:positionH>
              <wp:positionV relativeFrom="paragraph">
                <wp:posOffset>-457200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1140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6.9pt;margin-top:-36pt;height:144pt;width:144pt;mso-position-horizontal-relative:margin;mso-wrap-style:none;z-index:251659264;mso-width-relative:page;mso-height-relative:page;" filled="f" stroked="f" coordsize="21600,21600" o:gfxdata="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zdfd42AAAAAsBAAAPAAAAAAAAAAEAIAAAACIAAABkcnMvZG93bnJldi54bWxQSwECFAAU&#10;AAAACACHTuJAJtVacyoCAABVBAAADgAAAAAAAAABACAAAAAnAQAAZHJzL2Uyb0RvYy54bWxQSwUG&#10;AAAAAAYABgBZAQAAwwUAAAAA&#10;">
              <v:fill on="f" focussize="0,0"/>
              <v:stroke on="f" weight="0.5pt"/>
              <v:imagedata o:title=""/>
              <o:lock v:ext="edit" aspectratio="f"/>
              <v:textbox inset="0mm,0mm,0mm,0mm" style="mso-fit-shape-to-text:t;">
                <w:txbxContent>
                  <w:p w14:paraId="4B91140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792A">
    <w:pPr>
      <w:widowControl w:val="0"/>
      <w:tabs>
        <w:tab w:val="center" w:pos="4153"/>
        <w:tab w:val="right" w:pos="8306"/>
      </w:tabs>
      <w:autoSpaceDE w:val="0"/>
      <w:autoSpaceDN w:val="0"/>
      <w:snapToGrid w:val="0"/>
      <w:jc w:val="center"/>
      <w:rPr>
        <w:rFonts w:ascii="宋体" w:hAnsi="宋体" w:eastAsia="宋体" w:cs="宋体"/>
        <w:sz w:val="18"/>
        <w:szCs w:val="22"/>
        <w:lang w:val="zh-CN" w:eastAsia="zh-CN" w:bidi="zh-CN"/>
      </w:rPr>
    </w:pPr>
    <w:r>
      <w:rPr>
        <w:rFonts w:ascii="宋体" w:hAnsi="宋体" w:eastAsia="宋体" w:cs="宋体"/>
        <w:sz w:val="18"/>
        <w:szCs w:val="22"/>
        <w:lang w:val="zh-CN" w:eastAsia="zh-CN" w:bidi="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2C940D">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t>—</w:t>
                          </w:r>
                          <w:r>
                            <w:rPr>
                              <w:rFonts w:hint="eastAsia" w:ascii="仿宋" w:hAnsi="仿宋" w:eastAsia="仿宋" w:cs="仿宋"/>
                              <w:sz w:val="32"/>
                              <w:szCs w:val="32"/>
                              <w:lang w:val="zh-CN" w:eastAsia="zh-CN" w:bidi="zh-CN"/>
                            </w:rPr>
                            <w:t xml:space="preserve"> </w:t>
                          </w:r>
                          <w:r>
                            <w:rPr>
                              <w:rFonts w:hint="eastAsia" w:ascii="仿宋" w:hAnsi="仿宋" w:eastAsia="仿宋" w:cs="仿宋"/>
                              <w:sz w:val="32"/>
                              <w:szCs w:val="32"/>
                              <w:lang w:val="zh-CN" w:eastAsia="zh-CN" w:bidi="zh-CN"/>
                            </w:rPr>
                            <w:fldChar w:fldCharType="begin"/>
                          </w:r>
                          <w:r>
                            <w:rPr>
                              <w:rFonts w:hint="eastAsia" w:ascii="仿宋" w:hAnsi="仿宋" w:eastAsia="仿宋" w:cs="仿宋"/>
                              <w:sz w:val="32"/>
                              <w:szCs w:val="32"/>
                              <w:lang w:val="zh-CN" w:eastAsia="zh-CN" w:bidi="zh-CN"/>
                            </w:rPr>
                            <w:instrText xml:space="preserve"> PAGE  \* MERGEFORMAT </w:instrText>
                          </w:r>
                          <w:r>
                            <w:rPr>
                              <w:rFonts w:hint="eastAsia" w:ascii="仿宋" w:hAnsi="仿宋" w:eastAsia="仿宋" w:cs="仿宋"/>
                              <w:sz w:val="32"/>
                              <w:szCs w:val="32"/>
                              <w:lang w:val="zh-CN" w:eastAsia="zh-CN" w:bidi="zh-CN"/>
                            </w:rPr>
                            <w:fldChar w:fldCharType="separate"/>
                          </w:r>
                          <w:r>
                            <w:rPr>
                              <w:rFonts w:hint="eastAsia" w:ascii="仿宋" w:hAnsi="仿宋" w:eastAsia="仿宋" w:cs="仿宋"/>
                              <w:sz w:val="32"/>
                              <w:szCs w:val="32"/>
                              <w:lang w:val="zh-CN" w:eastAsia="zh-CN" w:bidi="zh-CN"/>
                            </w:rPr>
                            <w:t>34</w:t>
                          </w:r>
                          <w:r>
                            <w:rPr>
                              <w:rFonts w:hint="eastAsia" w:ascii="仿宋" w:hAnsi="仿宋" w:eastAsia="仿宋" w:cs="仿宋"/>
                              <w:sz w:val="32"/>
                              <w:szCs w:val="32"/>
                              <w:lang w:val="zh-CN" w:eastAsia="zh-CN" w:bidi="zh-CN"/>
                            </w:rPr>
                            <w:fldChar w:fldCharType="end"/>
                          </w:r>
                          <w:r>
                            <w:rPr>
                              <w:rFonts w:hint="eastAsia" w:ascii="仿宋" w:hAnsi="仿宋" w:eastAsia="仿宋" w:cs="仿宋"/>
                              <w:sz w:val="32"/>
                              <w:szCs w:val="32"/>
                              <w:lang w:val="zh-CN" w:eastAsia="zh-CN" w:bidi="zh-CN"/>
                            </w:rPr>
                            <w:t xml:space="preserve"> </w:t>
                          </w:r>
                          <w:r>
                            <w:rPr>
                              <w:rFonts w:ascii="宋体" w:hAnsi="宋体" w:eastAsia="宋体" w:cs="宋体"/>
                              <w:sz w:val="18"/>
                              <w:szCs w:val="22"/>
                              <w:lang w:val="zh-CN" w:eastAsia="zh-CN" w:bidi="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92C940D">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t>—</w:t>
                    </w:r>
                    <w:r>
                      <w:rPr>
                        <w:rFonts w:hint="eastAsia" w:ascii="仿宋" w:hAnsi="仿宋" w:eastAsia="仿宋" w:cs="仿宋"/>
                        <w:sz w:val="32"/>
                        <w:szCs w:val="32"/>
                        <w:lang w:val="zh-CN" w:eastAsia="zh-CN" w:bidi="zh-CN"/>
                      </w:rPr>
                      <w:t xml:space="preserve"> </w:t>
                    </w:r>
                    <w:r>
                      <w:rPr>
                        <w:rFonts w:hint="eastAsia" w:ascii="仿宋" w:hAnsi="仿宋" w:eastAsia="仿宋" w:cs="仿宋"/>
                        <w:sz w:val="32"/>
                        <w:szCs w:val="32"/>
                        <w:lang w:val="zh-CN" w:eastAsia="zh-CN" w:bidi="zh-CN"/>
                      </w:rPr>
                      <w:fldChar w:fldCharType="begin"/>
                    </w:r>
                    <w:r>
                      <w:rPr>
                        <w:rFonts w:hint="eastAsia" w:ascii="仿宋" w:hAnsi="仿宋" w:eastAsia="仿宋" w:cs="仿宋"/>
                        <w:sz w:val="32"/>
                        <w:szCs w:val="32"/>
                        <w:lang w:val="zh-CN" w:eastAsia="zh-CN" w:bidi="zh-CN"/>
                      </w:rPr>
                      <w:instrText xml:space="preserve"> PAGE  \* MERGEFORMAT </w:instrText>
                    </w:r>
                    <w:r>
                      <w:rPr>
                        <w:rFonts w:hint="eastAsia" w:ascii="仿宋" w:hAnsi="仿宋" w:eastAsia="仿宋" w:cs="仿宋"/>
                        <w:sz w:val="32"/>
                        <w:szCs w:val="32"/>
                        <w:lang w:val="zh-CN" w:eastAsia="zh-CN" w:bidi="zh-CN"/>
                      </w:rPr>
                      <w:fldChar w:fldCharType="separate"/>
                    </w:r>
                    <w:r>
                      <w:rPr>
                        <w:rFonts w:hint="eastAsia" w:ascii="仿宋" w:hAnsi="仿宋" w:eastAsia="仿宋" w:cs="仿宋"/>
                        <w:sz w:val="32"/>
                        <w:szCs w:val="32"/>
                        <w:lang w:val="zh-CN" w:eastAsia="zh-CN" w:bidi="zh-CN"/>
                      </w:rPr>
                      <w:t>34</w:t>
                    </w:r>
                    <w:r>
                      <w:rPr>
                        <w:rFonts w:hint="eastAsia" w:ascii="仿宋" w:hAnsi="仿宋" w:eastAsia="仿宋" w:cs="仿宋"/>
                        <w:sz w:val="32"/>
                        <w:szCs w:val="32"/>
                        <w:lang w:val="zh-CN" w:eastAsia="zh-CN" w:bidi="zh-CN"/>
                      </w:rPr>
                      <w:fldChar w:fldCharType="end"/>
                    </w:r>
                    <w:r>
                      <w:rPr>
                        <w:rFonts w:hint="eastAsia" w:ascii="仿宋" w:hAnsi="仿宋" w:eastAsia="仿宋" w:cs="仿宋"/>
                        <w:sz w:val="32"/>
                        <w:szCs w:val="32"/>
                        <w:lang w:val="zh-CN" w:eastAsia="zh-CN" w:bidi="zh-CN"/>
                      </w:rPr>
                      <w:t xml:space="preserve"> </w:t>
                    </w:r>
                    <w:r>
                      <w:rPr>
                        <w:rFonts w:ascii="宋体" w:hAnsi="宋体" w:eastAsia="宋体" w:cs="宋体"/>
                        <w:sz w:val="18"/>
                        <w:szCs w:val="22"/>
                        <w:lang w:val="zh-CN" w:eastAsia="zh-CN" w:bidi="zh-CN"/>
                      </w:rPr>
                      <w:t>—</w:t>
                    </w:r>
                  </w:p>
                </w:txbxContent>
              </v:textbox>
            </v:shape>
          </w:pict>
        </mc:Fallback>
      </mc:AlternateContent>
    </w:r>
  </w:p>
  <w:p w14:paraId="2425182C">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doNotExpandShiftReturn/>
    <w:doNotWrapTextWithPunct/>
    <w:doNotUseEastAsianBreakRules/>
    <w:useFELayout/>
    <w:doNotUseIndentAsNumberingTabStop/>
    <w:compatSetting w:name="compatibilityMode" w:uri="http://schemas.microsoft.com/office/word" w:val="14"/>
  </w:compat>
  <w:docVars>
    <w:docVar w:name="commondata" w:val="eyJoZGlkIjoiNmNjZTM1MDFjMzExNDU2NzczODQ3N2YzYWY2MmYxMWEifQ=="/>
  </w:docVars>
  <w:rsids>
    <w:rsidRoot w:val="00CE3BE2"/>
    <w:rsid w:val="00006F52"/>
    <w:rsid w:val="00266187"/>
    <w:rsid w:val="004A752E"/>
    <w:rsid w:val="004B0D73"/>
    <w:rsid w:val="005E73F3"/>
    <w:rsid w:val="00877240"/>
    <w:rsid w:val="009F543A"/>
    <w:rsid w:val="00A14997"/>
    <w:rsid w:val="00A73DE7"/>
    <w:rsid w:val="00C7365E"/>
    <w:rsid w:val="00CE3BE2"/>
    <w:rsid w:val="00D46D70"/>
    <w:rsid w:val="00D50E90"/>
    <w:rsid w:val="00DD5034"/>
    <w:rsid w:val="00E40963"/>
    <w:rsid w:val="00FE3D37"/>
    <w:rsid w:val="00FF3384"/>
    <w:rsid w:val="011B6997"/>
    <w:rsid w:val="013D4B60"/>
    <w:rsid w:val="01883901"/>
    <w:rsid w:val="02D84414"/>
    <w:rsid w:val="032E5D4C"/>
    <w:rsid w:val="043210F1"/>
    <w:rsid w:val="04461F7D"/>
    <w:rsid w:val="04C64AD4"/>
    <w:rsid w:val="067446E9"/>
    <w:rsid w:val="07AA637F"/>
    <w:rsid w:val="07F145A1"/>
    <w:rsid w:val="089E3A0A"/>
    <w:rsid w:val="08AD245B"/>
    <w:rsid w:val="0AC6260C"/>
    <w:rsid w:val="0BA37536"/>
    <w:rsid w:val="0C5A5B50"/>
    <w:rsid w:val="10E92C90"/>
    <w:rsid w:val="128A5EA1"/>
    <w:rsid w:val="1354332B"/>
    <w:rsid w:val="140957F8"/>
    <w:rsid w:val="14802DE2"/>
    <w:rsid w:val="14C04FDF"/>
    <w:rsid w:val="151E5632"/>
    <w:rsid w:val="16FE1273"/>
    <w:rsid w:val="17351BFF"/>
    <w:rsid w:val="178E7A6B"/>
    <w:rsid w:val="17B01325"/>
    <w:rsid w:val="193D18B1"/>
    <w:rsid w:val="1C4479C9"/>
    <w:rsid w:val="1C696AD8"/>
    <w:rsid w:val="1D6B6F3F"/>
    <w:rsid w:val="1D7B26D0"/>
    <w:rsid w:val="1D902654"/>
    <w:rsid w:val="1DE06B47"/>
    <w:rsid w:val="1E8B78F5"/>
    <w:rsid w:val="208F6886"/>
    <w:rsid w:val="20F876CC"/>
    <w:rsid w:val="21162880"/>
    <w:rsid w:val="2181063E"/>
    <w:rsid w:val="221B26FB"/>
    <w:rsid w:val="23CB16FF"/>
    <w:rsid w:val="245E1778"/>
    <w:rsid w:val="25427A30"/>
    <w:rsid w:val="25F36B7A"/>
    <w:rsid w:val="26353B08"/>
    <w:rsid w:val="26907160"/>
    <w:rsid w:val="28291EC2"/>
    <w:rsid w:val="28511465"/>
    <w:rsid w:val="29736271"/>
    <w:rsid w:val="29B47087"/>
    <w:rsid w:val="2A0200FA"/>
    <w:rsid w:val="2A5F3BA9"/>
    <w:rsid w:val="2D7626DC"/>
    <w:rsid w:val="2DE031B7"/>
    <w:rsid w:val="302C1778"/>
    <w:rsid w:val="30495BCA"/>
    <w:rsid w:val="314E5D95"/>
    <w:rsid w:val="31CE4510"/>
    <w:rsid w:val="331F5464"/>
    <w:rsid w:val="34F34F5A"/>
    <w:rsid w:val="35981378"/>
    <w:rsid w:val="363E3FB3"/>
    <w:rsid w:val="374101FF"/>
    <w:rsid w:val="375B1664"/>
    <w:rsid w:val="392E2102"/>
    <w:rsid w:val="3AB45085"/>
    <w:rsid w:val="3B4C2CCE"/>
    <w:rsid w:val="3B5C056E"/>
    <w:rsid w:val="3BBB0196"/>
    <w:rsid w:val="3CDD2778"/>
    <w:rsid w:val="3FB14B3E"/>
    <w:rsid w:val="41DD28D2"/>
    <w:rsid w:val="42E02956"/>
    <w:rsid w:val="431C3344"/>
    <w:rsid w:val="44C46F12"/>
    <w:rsid w:val="46AB698B"/>
    <w:rsid w:val="47386948"/>
    <w:rsid w:val="48013092"/>
    <w:rsid w:val="483416BA"/>
    <w:rsid w:val="48454599"/>
    <w:rsid w:val="4957480F"/>
    <w:rsid w:val="4A1809E9"/>
    <w:rsid w:val="4D771BB3"/>
    <w:rsid w:val="4DE23039"/>
    <w:rsid w:val="4E9621F8"/>
    <w:rsid w:val="512C39FD"/>
    <w:rsid w:val="53D25A32"/>
    <w:rsid w:val="541128AF"/>
    <w:rsid w:val="54D85158"/>
    <w:rsid w:val="550F6770"/>
    <w:rsid w:val="55987273"/>
    <w:rsid w:val="560678CD"/>
    <w:rsid w:val="567F35D4"/>
    <w:rsid w:val="56F374CE"/>
    <w:rsid w:val="578515EA"/>
    <w:rsid w:val="580547A1"/>
    <w:rsid w:val="582A0E37"/>
    <w:rsid w:val="58BB4A88"/>
    <w:rsid w:val="5B023469"/>
    <w:rsid w:val="5E412AA2"/>
    <w:rsid w:val="5EFC1E45"/>
    <w:rsid w:val="600D1779"/>
    <w:rsid w:val="60C972D4"/>
    <w:rsid w:val="62175534"/>
    <w:rsid w:val="627A67C1"/>
    <w:rsid w:val="64110059"/>
    <w:rsid w:val="641D434E"/>
    <w:rsid w:val="64C5396E"/>
    <w:rsid w:val="658448F1"/>
    <w:rsid w:val="65E01DE7"/>
    <w:rsid w:val="674A17A8"/>
    <w:rsid w:val="675F484E"/>
    <w:rsid w:val="67694A84"/>
    <w:rsid w:val="67E06017"/>
    <w:rsid w:val="68163F47"/>
    <w:rsid w:val="693E053F"/>
    <w:rsid w:val="69586E12"/>
    <w:rsid w:val="6A9401DE"/>
    <w:rsid w:val="6B7B042E"/>
    <w:rsid w:val="6CCB3AEB"/>
    <w:rsid w:val="6F885A75"/>
    <w:rsid w:val="6FDE4158"/>
    <w:rsid w:val="70FB5DFA"/>
    <w:rsid w:val="733F19A0"/>
    <w:rsid w:val="735862A6"/>
    <w:rsid w:val="73A04699"/>
    <w:rsid w:val="762B046C"/>
    <w:rsid w:val="77A85155"/>
    <w:rsid w:val="7801340A"/>
    <w:rsid w:val="7B4038F6"/>
    <w:rsid w:val="7CF8248D"/>
    <w:rsid w:val="7DBD5176"/>
    <w:rsid w:val="7DF12C86"/>
    <w:rsid w:val="7ECA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val="0"/>
      <w:keepLines w:val="0"/>
      <w:spacing w:before="340" w:after="330" w:line="560" w:lineRule="exact"/>
      <w:outlineLvl w:val="0"/>
    </w:pPr>
    <w:rPr>
      <w:rFonts w:eastAsia="黑体"/>
      <w:kern w:val="44"/>
      <w:sz w:val="32"/>
    </w:rPr>
  </w:style>
  <w:style w:type="paragraph" w:styleId="3">
    <w:name w:val="heading 2"/>
    <w:basedOn w:val="1"/>
    <w:next w:val="1"/>
    <w:unhideWhenUsed/>
    <w:qFormat/>
    <w:uiPriority w:val="0"/>
    <w:pPr>
      <w:keepNext w:val="0"/>
      <w:keepLines w:val="0"/>
      <w:spacing w:before="260" w:after="260" w:line="560" w:lineRule="exact"/>
      <w:outlineLvl w:val="1"/>
    </w:pPr>
    <w:rPr>
      <w:rFonts w:eastAsia="楷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line="560" w:lineRule="exact"/>
      <w:ind w:firstLine="420" w:firstLineChars="200"/>
      <w:jc w:val="both"/>
    </w:pPr>
    <w:rPr>
      <w:rFonts w:ascii="Times New Roman" w:hAnsi="Times New Roman" w:eastAsia="仿宋_GB2312" w:cs="宋体"/>
      <w:sz w:val="32"/>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pPr>
    <w:rPr>
      <w:rFonts w:cs="Times New Roman"/>
      <w:sz w:val="24"/>
      <w:lang w:eastAsia="zh-CN"/>
    </w:r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
    <w:name w:val="First Paragraph"/>
    <w:basedOn w:val="1"/>
    <w:next w:val="5"/>
    <w:qFormat/>
    <w:uiPriority w:val="0"/>
    <w:pPr>
      <w:spacing w:before="180"/>
      <w:ind w:firstLine="480" w:firstLineChars="200"/>
    </w:pPr>
    <w:rPr>
      <w:lang w:eastAsia="zh-CN"/>
    </w:rPr>
  </w:style>
  <w:style w:type="paragraph" w:customStyle="1" w:styleId="18">
    <w:name w:val="Compact"/>
    <w:basedOn w:val="5"/>
    <w:qFormat/>
    <w:uiPriority w:val="0"/>
    <w:pPr>
      <w:spacing w:before="60" w:after="60"/>
      <w:ind w:firstLine="0" w:firstLineChars="0"/>
    </w:pPr>
  </w:style>
  <w:style w:type="table" w:customStyle="1" w:styleId="19">
    <w:name w:val="Table"/>
    <w:semiHidden/>
    <w:unhideWhenUsed/>
    <w:qFormat/>
    <w:uiPriority w:val="0"/>
    <w:rPr>
      <w:rFonts w:ascii="Times New Roman" w:hAnsi="Times New Roman" w:eastAsia="仿宋"/>
      <w:sz w:val="20"/>
      <w:szCs w:val="20"/>
      <w:lang w:eastAsia="zh-CN"/>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
    <w:trPr>
      <w:jc w:val="center"/>
    </w:trPr>
    <w:tcPr>
      <w:shd w:val="clear" w:color="auto" w:fill="auto"/>
      <w:vAlign w:val="center"/>
    </w:tcPr>
    <w:tblStylePr w:type="firstRow">
      <w:rPr>
        <w:rFonts w:eastAsia="宋体"/>
        <w:b/>
        <w:i w:val="0"/>
      </w: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4596d857-d930-4dd5-9e57-2630fbce9379</errorID>
      <errorWord>提高</errorWord>
      <group>L1_Word</group>
      <groupName>字词问题</groupName>
      <ability>L2_Typo</ability>
      <abilityName>字词错误</abilityName>
      <candidateList>
        <item>增强</item>
      </candidateList>
      <explain>“提高～意识”搭配不当，建议修改为“增强～意识”。</explain>
      <paraID>4517C684</paraID>
      <start>41</start>
      <end>43</end>
      <status>unmodified</status>
      <modifiedWord/>
      <trackRevisions>false</trackRevisions>
    </reviewItem>
    <reviewItem>
      <errorID>6cec239b-e2b4-4551-9a76-582521f86079</errorID>
      <errorWord>时区应急</errorWord>
      <group>L1_Knowledge</group>
      <groupName>知识性问题</groupName>
      <ability>L2_Term</ability>
      <abilityName>专业术语</abilityName>
      <candidateList>
        <item>场区应急</item>
      </candidateList>
      <explain/>
      <paraID>1EDDD9F1</paraID>
      <start>55</start>
      <end>59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3D593-0E99-4034-BA51-968D45B165E9}">
  <ds:schemaRefs/>
</ds:datastoreItem>
</file>

<file path=customXml/itemProps3.xml><?xml version="1.0" encoding="utf-8"?>
<ds:datastoreItem xmlns:ds="http://schemas.openxmlformats.org/officeDocument/2006/customXml" ds:itemID="{b2d4b7bf-fb49-46ba-b61a-ee70bf0ac1bf}">
  <ds:schemaRefs/>
</ds:datastoreItem>
</file>

<file path=docProps/app.xml><?xml version="1.0" encoding="utf-8"?>
<Properties xmlns="http://schemas.openxmlformats.org/officeDocument/2006/extended-properties" xmlns:vt="http://schemas.openxmlformats.org/officeDocument/2006/docPropsVTypes">
  <Template>Normal</Template>
  <Pages>40</Pages>
  <Words>12453</Words>
  <Characters>12634</Characters>
  <Lines>419</Lines>
  <Paragraphs>366</Paragraphs>
  <TotalTime>5</TotalTime>
  <ScaleCrop>false</ScaleCrop>
  <LinksUpToDate>false</LinksUpToDate>
  <CharactersWithSpaces>12802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2025-09-17T09:00:00Z</dcterms:created>
  <dc:creator>yjj12</dc:creator>
  <cp:lastModifiedBy>A</cp:lastModifiedBy>
  <cp:lastPrinted>2025-12-11T06:37:00Z</cp:lastPrinted>
  <dcterms:modified xsi:type="dcterms:W3CDTF">2026-02-02T07:08:32Z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2025-09-17T09:00:26Z</vt:filetime>
  </property>
  <property fmtid="{D5CDD505-2E9C-101B-9397-08002B2CF9AE}" pid="4" name="UsrData">
    <vt:lpwstr>68ca082569d47e001f3fb595wl</vt:lpwstr>
  </property>
  <property fmtid="{D5CDD505-2E9C-101B-9397-08002B2CF9AE}" pid="5" name="KSOProductBuildVer">
    <vt:lpwstr>2052-12.1.0.24657</vt:lpwstr>
  </property>
  <property fmtid="{D5CDD505-2E9C-101B-9397-08002B2CF9AE}" pid="6" name="ICV">
    <vt:lpwstr>82C9C4E1D0B146E6B660B9E6B655F466_13</vt:lpwstr>
  </property>
  <property fmtid="{D5CDD505-2E9C-101B-9397-08002B2CF9AE}" pid="7" name="KSOTemplateDocerSaveRecord">
    <vt:lpwstr>eyJoZGlkIjoiMGQ0ODlkZjk1YWVhMmM1YjE4NTliNDE5NmJiMTdmNGMiLCJ1c2VySWQiOiIyNTc2OTIxMzcifQ==</vt:lpwstr>
  </property>
</Properties>
</file>