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C9CD0">
      <w:pPr>
        <w:pStyle w:val="5"/>
        <w:spacing w:line="252" w:lineRule="auto"/>
        <w:rPr>
          <w:rFonts w:ascii="Times New Roman" w:hAnsi="Times New Roman" w:cs="Times New Roman"/>
        </w:rPr>
      </w:pPr>
    </w:p>
    <w:p w14:paraId="56D8BD17">
      <w:pPr>
        <w:pStyle w:val="5"/>
        <w:spacing w:line="253" w:lineRule="auto"/>
        <w:rPr>
          <w:rFonts w:ascii="Times New Roman" w:hAnsi="Times New Roman" w:cs="Times New Roman"/>
        </w:rPr>
      </w:pPr>
    </w:p>
    <w:p w14:paraId="53DAF9EA">
      <w:pPr>
        <w:pStyle w:val="5"/>
        <w:spacing w:line="253" w:lineRule="auto"/>
        <w:rPr>
          <w:rFonts w:ascii="Times New Roman" w:hAnsi="Times New Roman" w:cs="Times New Roman"/>
        </w:rPr>
      </w:pPr>
    </w:p>
    <w:p w14:paraId="12B268B1">
      <w:pPr>
        <w:pStyle w:val="5"/>
        <w:spacing w:line="253" w:lineRule="auto"/>
        <w:rPr>
          <w:rFonts w:ascii="Times New Roman" w:hAnsi="Times New Roman" w:cs="Times New Roman"/>
        </w:rPr>
      </w:pPr>
    </w:p>
    <w:p w14:paraId="61670A3E">
      <w:pPr>
        <w:pStyle w:val="5"/>
        <w:spacing w:line="253" w:lineRule="auto"/>
        <w:rPr>
          <w:rFonts w:ascii="Times New Roman" w:hAnsi="Times New Roman" w:cs="Times New Roman"/>
        </w:rPr>
      </w:pPr>
    </w:p>
    <w:p w14:paraId="4900D25A">
      <w:pPr>
        <w:pStyle w:val="5"/>
        <w:spacing w:line="253" w:lineRule="auto"/>
        <w:rPr>
          <w:rFonts w:ascii="Times New Roman" w:hAnsi="Times New Roman" w:cs="Times New Roman"/>
        </w:rPr>
      </w:pPr>
    </w:p>
    <w:p w14:paraId="3F929AC4">
      <w:pPr>
        <w:pStyle w:val="5"/>
        <w:spacing w:line="253" w:lineRule="auto"/>
        <w:rPr>
          <w:rFonts w:ascii="Times New Roman" w:hAnsi="Times New Roman" w:cs="Times New Roman"/>
        </w:rPr>
      </w:pPr>
    </w:p>
    <w:p w14:paraId="76482365">
      <w:pPr>
        <w:pStyle w:val="5"/>
        <w:spacing w:line="253" w:lineRule="auto"/>
        <w:rPr>
          <w:rFonts w:ascii="Times New Roman" w:hAnsi="Times New Roman" w:cs="Times New Roman"/>
        </w:rPr>
      </w:pPr>
    </w:p>
    <w:p w14:paraId="4882E3DC">
      <w:pPr>
        <w:pStyle w:val="5"/>
        <w:spacing w:line="253" w:lineRule="auto"/>
        <w:rPr>
          <w:rFonts w:ascii="Times New Roman" w:hAnsi="Times New Roman" w:cs="Times New Roman"/>
        </w:rPr>
      </w:pPr>
    </w:p>
    <w:p w14:paraId="606C46A9">
      <w:pPr>
        <w:pStyle w:val="5"/>
        <w:spacing w:line="253" w:lineRule="auto"/>
        <w:rPr>
          <w:rFonts w:ascii="Times New Roman" w:hAnsi="Times New Roman" w:cs="Times New Roman"/>
        </w:rPr>
      </w:pPr>
    </w:p>
    <w:p w14:paraId="34DFB622">
      <w:pPr>
        <w:pStyle w:val="5"/>
        <w:spacing w:line="253" w:lineRule="auto"/>
        <w:rPr>
          <w:rFonts w:ascii="Times New Roman" w:hAnsi="Times New Roman" w:cs="Times New Roman"/>
        </w:rPr>
      </w:pPr>
    </w:p>
    <w:p w14:paraId="055B100B">
      <w:pPr>
        <w:pStyle w:val="5"/>
        <w:spacing w:line="253" w:lineRule="auto"/>
        <w:rPr>
          <w:rFonts w:ascii="Times New Roman" w:hAnsi="Times New Roman" w:cs="Times New Roman"/>
        </w:rPr>
      </w:pPr>
    </w:p>
    <w:p w14:paraId="118339BC">
      <w:pPr>
        <w:pStyle w:val="5"/>
        <w:spacing w:line="253" w:lineRule="auto"/>
        <w:rPr>
          <w:rFonts w:ascii="Times New Roman" w:hAnsi="Times New Roman" w:cs="Times New Roman"/>
        </w:rPr>
      </w:pPr>
    </w:p>
    <w:p w14:paraId="724A9C90">
      <w:pPr>
        <w:pStyle w:val="5"/>
        <w:spacing w:line="253" w:lineRule="auto"/>
        <w:rPr>
          <w:rFonts w:ascii="Times New Roman" w:hAnsi="Times New Roman" w:cs="Times New Roman"/>
        </w:rPr>
      </w:pPr>
    </w:p>
    <w:p w14:paraId="33653427">
      <w:pPr>
        <w:pStyle w:val="5"/>
        <w:spacing w:line="253" w:lineRule="auto"/>
        <w:rPr>
          <w:rFonts w:ascii="Times New Roman" w:hAnsi="Times New Roman" w:cs="Times New Roman"/>
        </w:rPr>
      </w:pPr>
    </w:p>
    <w:p w14:paraId="4C8E8F1D">
      <w:pPr>
        <w:keepNext w:val="0"/>
        <w:keepLines w:val="0"/>
        <w:pageBreakBefore w:val="0"/>
        <w:widowControl/>
        <w:kinsoku w:val="0"/>
        <w:wordWrap/>
        <w:overflowPunct/>
        <w:topLinePunct w:val="0"/>
        <w:autoSpaceDE w:val="0"/>
        <w:autoSpaceDN w:val="0"/>
        <w:bidi w:val="0"/>
        <w:adjustRightInd w:val="0"/>
        <w:snapToGrid w:val="0"/>
        <w:spacing w:before="140" w:line="240" w:lineRule="auto"/>
        <w:jc w:val="center"/>
        <w:textAlignment w:val="baseline"/>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pacing w:val="4"/>
          <w:sz w:val="44"/>
          <w:szCs w:val="44"/>
          <w:lang w:eastAsia="zh-CN"/>
        </w:rPr>
        <w:t>佳木斯市向阳区</w:t>
      </w:r>
    </w:p>
    <w:p w14:paraId="4660E6FC">
      <w:pPr>
        <w:widowControl w:val="0"/>
        <w:kinsoku/>
        <w:autoSpaceDE/>
        <w:autoSpaceDN/>
        <w:adjustRightInd/>
        <w:snapToGrid w:val="0"/>
        <w:spacing w:line="360" w:lineRule="auto"/>
        <w:jc w:val="center"/>
        <w:textAlignment w:val="auto"/>
        <w:rPr>
          <w:rFonts w:hint="eastAsia" w:ascii="方正小标宋简体" w:hAnsi="方正小标宋简体" w:eastAsia="方正小标宋简体" w:cs="方正小标宋简体"/>
          <w:sz w:val="44"/>
          <w:szCs w:val="44"/>
          <w:lang w:eastAsia="zh-CN"/>
        </w:rPr>
        <w:sectPr>
          <w:headerReference r:id="rId3" w:type="default"/>
          <w:footerReference r:id="rId4" w:type="default"/>
          <w:pgSz w:w="11906" w:h="16839"/>
          <w:pgMar w:top="1582" w:right="1338" w:bottom="1179" w:left="1480" w:header="0" w:footer="0" w:gutter="0"/>
          <w:pgNumType w:fmt="decimal"/>
          <w:cols w:space="720" w:num="1"/>
        </w:sectPr>
      </w:pPr>
      <w:r>
        <w:rPr>
          <w:rFonts w:hint="eastAsia" w:ascii="方正小标宋简体" w:hAnsi="方正小标宋简体" w:eastAsia="方正小标宋简体" w:cs="方正小标宋简体"/>
          <w:b w:val="0"/>
          <w:bCs w:val="0"/>
          <w:spacing w:val="-6"/>
          <w:sz w:val="44"/>
          <w:szCs w:val="44"/>
          <w:lang w:eastAsia="zh-CN"/>
        </w:rPr>
        <w:t>危险化学品生产安全事故应急预案</w:t>
      </w:r>
    </w:p>
    <w:sdt>
      <w:sdtPr>
        <w:rPr>
          <w:rFonts w:hint="eastAsia" w:ascii="方正小标宋简体" w:hAnsi="方正小标宋简体" w:eastAsia="方正小标宋简体" w:cs="方正小标宋简体"/>
          <w:sz w:val="32"/>
          <w:szCs w:val="32"/>
        </w:rPr>
        <w:id w:val="147481833"/>
        <w15:color w:val="DBDBDB"/>
        <w:docPartObj>
          <w:docPartGallery w:val="Table of Contents"/>
          <w:docPartUnique/>
        </w:docPartObj>
      </w:sdtPr>
      <w:sdtEndPr>
        <w:rPr>
          <w:rFonts w:hint="default" w:ascii="Times New Roman" w:hAnsi="Times New Roman" w:eastAsia="宋体" w:cs="Times New Roman"/>
          <w:sz w:val="32"/>
          <w:szCs w:val="32"/>
        </w:rPr>
      </w:sdtEndPr>
      <w:sdtContent>
        <w:p w14:paraId="0E8A2E63">
          <w:pPr>
            <w:jc w:val="center"/>
            <w:rPr>
              <w:rFonts w:hint="eastAsia" w:ascii="方正小标宋简体" w:hAnsi="方正小标宋简体" w:eastAsia="方正小标宋简体" w:cs="方正小标宋简体"/>
              <w:sz w:val="32"/>
              <w:szCs w:val="32"/>
            </w:rPr>
          </w:pPr>
          <w:r>
            <w:rPr>
              <w:rFonts w:hint="eastAsia" w:ascii="宋体" w:hAnsi="宋体" w:eastAsia="宋体" w:cs="宋体"/>
              <w:sz w:val="32"/>
              <w:szCs w:val="32"/>
            </w:rPr>
            <w:t>目录</w:t>
          </w:r>
        </w:p>
        <w:p w14:paraId="0D13FA31">
          <w:pPr>
            <w:pStyle w:val="9"/>
            <w:tabs>
              <w:tab w:val="right" w:leader="dot" w:pos="842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"1-3"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_Toc3286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一、 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_Toc3286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F4F89BC">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_Toc18231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（一）编制目的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_Toc18231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F24784A">
          <w:pPr>
            <w:pStyle w:val="10"/>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_Toc28582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（二）编制依据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_Toc28582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2E38097">
          <w:pPr>
            <w:pStyle w:val="10"/>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_Toc23576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eastAsia="zh-CN"/>
            </w:rPr>
            <w:t>（三）工作原则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_Toc23576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F47725D">
          <w:pPr>
            <w:pStyle w:val="9"/>
            <w:tabs>
              <w:tab w:val="right" w:leader="dot" w:pos="842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_Toc24627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二、危险化学品生产安全事故风险分析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_Toc24627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C4CD999">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_Toc18298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（一）现状及风险分析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_Toc18298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477E4FE">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_Toc1810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（二）危险化学品生产安全事故分类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_Toc1810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666E3DC">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_Toc14194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（三）事故分级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_Toc14194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56ACDAB">
          <w:pPr>
            <w:pStyle w:val="9"/>
            <w:tabs>
              <w:tab w:val="right" w:leader="dot" w:pos="842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_Toc10890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三、组织指挥机构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_Toc10890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C95336A">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_Toc3983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（一）应急指挥机构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_Toc3983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93D8FD6">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_Toc1221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（二）应急救援机构及职责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_Toc1221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C9ACC91">
          <w:pPr>
            <w:pStyle w:val="9"/>
            <w:tabs>
              <w:tab w:val="right" w:leader="dot" w:pos="842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_Toc23233 </w:instrText>
          </w:r>
          <w:r>
            <w:rPr>
              <w:rFonts w:hint="eastAsia" w:ascii="仿宋" w:hAnsi="仿宋" w:eastAsia="仿宋" w:cs="仿宋"/>
              <w:sz w:val="32"/>
              <w:szCs w:val="32"/>
            </w:rPr>
            <w:fldChar w:fldCharType="separate"/>
          </w:r>
          <w:r>
            <w:rPr>
              <w:rFonts w:hint="eastAsia" w:ascii="仿宋" w:hAnsi="仿宋" w:eastAsia="仿宋" w:cs="仿宋"/>
              <w:bCs w:val="0"/>
              <w:spacing w:val="0"/>
              <w:sz w:val="32"/>
              <w:szCs w:val="32"/>
              <w:lang w:val="en-US"/>
            </w:rPr>
            <w:t>四</w:t>
          </w:r>
          <w:r>
            <w:rPr>
              <w:rFonts w:hint="eastAsia" w:ascii="仿宋" w:hAnsi="仿宋" w:eastAsia="仿宋" w:cs="仿宋"/>
              <w:bCs w:val="0"/>
              <w:spacing w:val="0"/>
              <w:sz w:val="32"/>
              <w:szCs w:val="32"/>
            </w:rPr>
            <w:t>、</w:t>
          </w:r>
          <w:r>
            <w:rPr>
              <w:rFonts w:hint="eastAsia" w:ascii="仿宋" w:hAnsi="仿宋" w:eastAsia="仿宋" w:cs="仿宋"/>
              <w:bCs w:val="0"/>
              <w:spacing w:val="0"/>
              <w:sz w:val="32"/>
              <w:szCs w:val="32"/>
              <w:lang w:val="en-US"/>
            </w:rPr>
            <w:t>风险管控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_Toc23233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DB6F053">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_Toc4258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（一）风险识别与评估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_Toc4258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DA392DD">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_Toc32114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（二）风险控制与治理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_Toc32114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E11EA7E">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_Toc10716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（三）监控与更新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_Toc10716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2710757">
          <w:pPr>
            <w:pStyle w:val="9"/>
            <w:tabs>
              <w:tab w:val="right" w:leader="dot" w:pos="842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_Toc12671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五、监测预警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_Toc12671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A206FB5">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_Toc932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（一）事故预防</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_Toc932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1705CB4">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_Toc25336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（二）事故风险监测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_Toc25336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B90939E">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_Toc20711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（三）事故预警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_Toc20711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ECA22CA">
          <w:pPr>
            <w:pStyle w:val="9"/>
            <w:tabs>
              <w:tab w:val="right" w:leader="dot" w:pos="842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_Toc31686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六、事故信息报告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_Toc31686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50DD72B">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_Toc5071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（一）事故单位报告及处置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_Toc5071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38463DE">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_Toc23986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（二）事故信息上报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_Toc23986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B56A467">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_Toc30274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（三）事故报告的主要内容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_Toc30274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80B3510">
          <w:pPr>
            <w:pStyle w:val="9"/>
            <w:tabs>
              <w:tab w:val="right" w:leader="dot" w:pos="842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_Toc1369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七、组织自救互救</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_Toc1369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AEEEAA8">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_Toc23406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（一）分级响应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_Toc23406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5B7DC37">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_Toc26132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（二）响应程序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_Toc26132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88DDE4D">
          <w:pPr>
            <w:pStyle w:val="9"/>
            <w:tabs>
              <w:tab w:val="right" w:leader="dot" w:pos="842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_Toc6819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八、现场管控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_Toc6819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1CAFE19">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_Toc19940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（一）先期处置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_Toc19940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5AB8608">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_Toc5639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（二）应急救援机构的行动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_Toc5639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75AB65D">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_Toc22998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（三）指挥与协调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_Toc22998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A9EEEA6">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_Toc13295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（四）应急人员的安全防护</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_Toc13295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02EC598">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_Toc1669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（五）受事故影响的群众安全防护</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_Toc1669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DD49937">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_Toc14294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（六）动员社会力量参与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_Toc14294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2349A5D">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_Toc1435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（七）事故现场检测与评估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_Toc1435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A85F754">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_Toc8274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（八）现场处置注意事项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_Toc8274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0811F74">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_Toc2186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（九）信息发布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_Toc2186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69B1E4B">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_Toc6521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（十）响应终止</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_Toc6521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2DEBE98">
          <w:pPr>
            <w:pStyle w:val="9"/>
            <w:tabs>
              <w:tab w:val="right" w:leader="dot" w:pos="842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_Toc29137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九、应急处置措施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_Toc29137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452576F">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_Toc20366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（一）善后处置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_Toc20366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9993D69">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_Toc10621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（二）事故调查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_Toc10621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0E8EA38">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_Toc3053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（三）总结与评估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_Toc3053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60D83A3">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_Toc30424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（四）恢复与重建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_Toc30424 \h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BEA9B4A">
          <w:pPr>
            <w:pStyle w:val="9"/>
            <w:tabs>
              <w:tab w:val="right" w:leader="dot" w:pos="842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_Toc5779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十、队伍物资保障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_Toc5779 \h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4FD362F">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_Toc4190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（一）信息保障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_Toc4190 \h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4C1D7A3">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_Toc26809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（二）应急队伍保障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_Toc26809 \h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67EB522">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_Toc23654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（三）救援装备和物资保障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_Toc23654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30526CB">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_Toc24913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（四）交通运输保障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_Toc24913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A34012F">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_Toc28719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（五）医疗卫生保障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_Toc28719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789760F">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_Toc29289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（六）治安保障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_Toc29289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7756318">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_Toc2090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（七）资金保障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_Toc2090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F538863">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_Toc14026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（八）社会动员保障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_Toc14026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AFE3624">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_Toc19382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（九）应急避难场所保障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_Toc19382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26BCF4D">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_Toc6462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（十）公共基础设施保障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_Toc6462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EBCE903">
          <w:pPr>
            <w:pStyle w:val="9"/>
            <w:tabs>
              <w:tab w:val="right" w:leader="dot" w:pos="842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_Toc32687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十一、监督管理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_Toc32687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F7EC49B">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_Toc17259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（一）宣传教育</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_Toc17259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D797877">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_Toc9854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（二）培训</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_Toc9854 \h </w:instrText>
          </w:r>
          <w:r>
            <w:rPr>
              <w:rFonts w:hint="eastAsia" w:ascii="仿宋" w:hAnsi="仿宋" w:eastAsia="仿宋" w:cs="仿宋"/>
              <w:sz w:val="32"/>
              <w:szCs w:val="32"/>
            </w:rPr>
            <w:fldChar w:fldCharType="separate"/>
          </w:r>
          <w:r>
            <w:rPr>
              <w:rFonts w:hint="eastAsia" w:ascii="仿宋" w:hAnsi="仿宋" w:eastAsia="仿宋" w:cs="仿宋"/>
              <w:sz w:val="32"/>
              <w:szCs w:val="32"/>
            </w:rPr>
            <w:t>36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94CB74A">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_Toc30756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（三）演练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_Toc30756 \h </w:instrText>
          </w:r>
          <w:r>
            <w:rPr>
              <w:rFonts w:hint="eastAsia" w:ascii="仿宋" w:hAnsi="仿宋" w:eastAsia="仿宋" w:cs="仿宋"/>
              <w:sz w:val="32"/>
              <w:szCs w:val="32"/>
            </w:rPr>
            <w:fldChar w:fldCharType="separate"/>
          </w:r>
          <w:r>
            <w:rPr>
              <w:rFonts w:hint="eastAsia" w:ascii="仿宋" w:hAnsi="仿宋" w:eastAsia="仿宋" w:cs="仿宋"/>
              <w:sz w:val="32"/>
              <w:szCs w:val="32"/>
            </w:rPr>
            <w:t>36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9BDBA92">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_Toc16772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（四）监督检查与奖惩</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_Toc16772 \h </w:instrText>
          </w:r>
          <w:r>
            <w:rPr>
              <w:rFonts w:hint="eastAsia" w:ascii="仿宋" w:hAnsi="仿宋" w:eastAsia="仿宋" w:cs="仿宋"/>
              <w:sz w:val="32"/>
              <w:szCs w:val="32"/>
            </w:rPr>
            <w:fldChar w:fldCharType="separate"/>
          </w:r>
          <w:r>
            <w:rPr>
              <w:rFonts w:hint="eastAsia" w:ascii="仿宋" w:hAnsi="仿宋" w:eastAsia="仿宋" w:cs="仿宋"/>
              <w:sz w:val="32"/>
              <w:szCs w:val="32"/>
            </w:rPr>
            <w:t>36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EFAAA21">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_Toc23964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（五）修订与更新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_Toc23964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BDEA43A">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_Toc18207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（六）解释与批准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_Toc18207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74BA941">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_Toc7652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（七）预案实施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_Toc7652 \h </w:instrText>
          </w:r>
          <w:r>
            <w:rPr>
              <w:rFonts w:hint="eastAsia" w:ascii="仿宋" w:hAnsi="仿宋" w:eastAsia="仿宋" w:cs="仿宋"/>
              <w:sz w:val="32"/>
              <w:szCs w:val="32"/>
            </w:rPr>
            <w:fldChar w:fldCharType="separate"/>
          </w:r>
          <w:r>
            <w:rPr>
              <w:rFonts w:hint="eastAsia" w:ascii="仿宋" w:hAnsi="仿宋" w:eastAsia="仿宋" w:cs="仿宋"/>
              <w:sz w:val="32"/>
              <w:szCs w:val="32"/>
            </w:rPr>
            <w:t>38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25F9C9F">
          <w:pPr>
            <w:pStyle w:val="9"/>
            <w:tabs>
              <w:tab w:val="right" w:leader="dot" w:pos="842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_Toc14746 </w:instrText>
          </w:r>
          <w:r>
            <w:rPr>
              <w:rFonts w:hint="eastAsia" w:ascii="仿宋" w:hAnsi="仿宋" w:eastAsia="仿宋" w:cs="仿宋"/>
              <w:sz w:val="32"/>
              <w:szCs w:val="32"/>
            </w:rPr>
            <w:fldChar w:fldCharType="separate"/>
          </w:r>
          <w:r>
            <w:rPr>
              <w:rFonts w:hint="eastAsia" w:ascii="仿宋" w:hAnsi="仿宋" w:eastAsia="仿宋" w:cs="仿宋"/>
              <w:spacing w:val="0"/>
              <w:sz w:val="32"/>
              <w:szCs w:val="32"/>
              <w:lang w:eastAsia="zh-CN"/>
            </w:rPr>
            <w:t>十二、附件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_Toc14746 \h </w:instrText>
          </w:r>
          <w:r>
            <w:rPr>
              <w:rFonts w:hint="eastAsia" w:ascii="仿宋" w:hAnsi="仿宋" w:eastAsia="仿宋" w:cs="仿宋"/>
              <w:sz w:val="32"/>
              <w:szCs w:val="32"/>
            </w:rPr>
            <w:fldChar w:fldCharType="separate"/>
          </w:r>
          <w:r>
            <w:rPr>
              <w:rFonts w:hint="eastAsia" w:ascii="仿宋" w:hAnsi="仿宋" w:eastAsia="仿宋" w:cs="仿宋"/>
              <w:sz w:val="32"/>
              <w:szCs w:val="32"/>
            </w:rPr>
            <w:t>38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FCF9BF5">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_Toc14486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 xml:space="preserve">附件1 </w:t>
          </w:r>
          <w:r>
            <w:rPr>
              <w:rFonts w:hint="eastAsia" w:ascii="仿宋" w:hAnsi="仿宋" w:eastAsia="仿宋" w:cs="仿宋"/>
              <w:sz w:val="32"/>
              <w:szCs w:val="32"/>
              <w:lang w:eastAsia="zh-CN"/>
            </w:rPr>
            <w:t>危险化学品生产安全事故分级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_Toc14486 \h </w:instrText>
          </w:r>
          <w:r>
            <w:rPr>
              <w:rFonts w:hint="eastAsia" w:ascii="仿宋" w:hAnsi="仿宋" w:eastAsia="仿宋" w:cs="仿宋"/>
              <w:sz w:val="32"/>
              <w:szCs w:val="32"/>
            </w:rPr>
            <w:fldChar w:fldCharType="separate"/>
          </w:r>
          <w:r>
            <w:rPr>
              <w:rFonts w:hint="eastAsia" w:ascii="仿宋" w:hAnsi="仿宋" w:eastAsia="仿宋" w:cs="仿宋"/>
              <w:sz w:val="32"/>
              <w:szCs w:val="32"/>
            </w:rPr>
            <w:t>39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1A6BA87">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_Toc30363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附件2 风险分级管控及评价方法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_Toc30363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019B352">
          <w:pPr>
            <w:pStyle w:val="9"/>
            <w:keepNext w:val="0"/>
            <w:keepLines w:val="0"/>
            <w:pageBreakBefore w:val="0"/>
            <w:widowControl/>
            <w:tabs>
              <w:tab w:val="right" w:leader="dot" w:pos="8420"/>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p>
        <w:p w14:paraId="54A73D32">
          <w:pPr>
            <w:rPr>
              <w:rFonts w:ascii="Times New Roman" w:hAnsi="Times New Roman" w:cs="Times New Roman"/>
            </w:rPr>
          </w:pPr>
          <w:r>
            <w:rPr>
              <w:rFonts w:hint="eastAsia" w:ascii="仿宋" w:hAnsi="仿宋" w:eastAsia="仿宋" w:cs="仿宋"/>
              <w:sz w:val="32"/>
              <w:szCs w:val="32"/>
            </w:rPr>
            <w:fldChar w:fldCharType="end"/>
          </w:r>
        </w:p>
      </w:sdtContent>
    </w:sdt>
    <w:p w14:paraId="2EE39576">
      <w:pPr>
        <w:spacing w:line="560" w:lineRule="exact"/>
        <w:ind w:left="588"/>
        <w:outlineLvl w:val="0"/>
        <w:rPr>
          <w:rFonts w:ascii="Times New Roman" w:hAnsi="Times New Roman" w:eastAsia="宋体" w:cs="Times New Roman"/>
          <w:b/>
          <w:bCs/>
          <w:spacing w:val="-6"/>
          <w:sz w:val="28"/>
          <w:szCs w:val="28"/>
          <w:lang w:eastAsia="zh-CN"/>
        </w:rPr>
        <w:sectPr>
          <w:footerReference r:id="rId5" w:type="default"/>
          <w:pgSz w:w="11906" w:h="16839"/>
          <w:pgMar w:top="1390" w:right="1701" w:bottom="1434" w:left="1785" w:header="0" w:footer="1159" w:gutter="0"/>
          <w:pgNumType w:fmt="decimal" w:start="1"/>
          <w:cols w:space="720" w:num="1"/>
        </w:sectPr>
      </w:pPr>
      <w:bookmarkStart w:id="0" w:name="_Toc12840"/>
      <w:bookmarkStart w:id="1" w:name="_Toc5570"/>
    </w:p>
    <w:p w14:paraId="2F9D5F62">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2" w:name="_Toc3286"/>
      <w:bookmarkStart w:id="201" w:name="_GoBack"/>
      <w:r>
        <w:rPr>
          <w:rFonts w:hint="eastAsia" w:ascii="黑体" w:hAnsi="黑体" w:eastAsia="黑体" w:cs="黑体"/>
          <w:color w:val="auto"/>
          <w:spacing w:val="0"/>
          <w:sz w:val="32"/>
          <w:szCs w:val="32"/>
          <w:lang w:eastAsia="zh-CN"/>
        </w:rPr>
        <w:t>总则</w:t>
      </w:r>
      <w:bookmarkEnd w:id="0"/>
      <w:bookmarkEnd w:id="1"/>
      <w:bookmarkEnd w:id="2"/>
      <w:bookmarkStart w:id="3" w:name="bookmark62"/>
      <w:bookmarkEnd w:id="3"/>
      <w:bookmarkStart w:id="4" w:name="_Toc429"/>
      <w:bookmarkStart w:id="5" w:name="_Toc20260"/>
    </w:p>
    <w:p w14:paraId="7A887FC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楷体" w:hAnsi="楷体" w:eastAsia="楷体" w:cs="楷体"/>
          <w:b w:val="0"/>
          <w:bCs w:val="0"/>
          <w:color w:val="auto"/>
          <w:spacing w:val="0"/>
          <w:sz w:val="32"/>
          <w:szCs w:val="32"/>
          <w:lang w:eastAsia="zh-CN"/>
        </w:rPr>
      </w:pPr>
      <w:bookmarkStart w:id="6" w:name="_Toc18231"/>
      <w:r>
        <w:rPr>
          <w:rFonts w:hint="eastAsia" w:ascii="楷体" w:hAnsi="楷体" w:eastAsia="楷体" w:cs="楷体"/>
          <w:b w:val="0"/>
          <w:bCs w:val="0"/>
          <w:color w:val="auto"/>
          <w:spacing w:val="0"/>
          <w:sz w:val="32"/>
          <w:szCs w:val="32"/>
          <w:lang w:eastAsia="zh-CN"/>
        </w:rPr>
        <w:t>（一）编制目的</w:t>
      </w:r>
      <w:bookmarkEnd w:id="4"/>
      <w:bookmarkEnd w:id="5"/>
      <w:bookmarkEnd w:id="6"/>
    </w:p>
    <w:p w14:paraId="619C101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为规范向阳区危险化学品生产安全事故应急处置工作机制，及时控制和消除突发性生产安全事故危害，最大限度地减少生产安全事故造成的人员伤亡和财产损失，维护人民群众的生命财产安全和社会稳定。</w:t>
      </w:r>
    </w:p>
    <w:p w14:paraId="3B23731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7" w:name="_Toc27752"/>
      <w:bookmarkStart w:id="8" w:name="_Toc8040"/>
      <w:bookmarkStart w:id="9" w:name="_Toc28582"/>
      <w:r>
        <w:rPr>
          <w:rFonts w:hint="eastAsia" w:ascii="楷体" w:hAnsi="楷体" w:eastAsia="楷体" w:cs="楷体"/>
          <w:b w:val="0"/>
          <w:bCs w:val="0"/>
          <w:color w:val="auto"/>
          <w:spacing w:val="0"/>
          <w:sz w:val="32"/>
          <w:szCs w:val="32"/>
          <w:lang w:eastAsia="zh-CN"/>
        </w:rPr>
        <w:t>（二）编制依据</w:t>
      </w:r>
      <w:bookmarkEnd w:id="7"/>
      <w:bookmarkEnd w:id="8"/>
      <w:bookmarkEnd w:id="9"/>
    </w:p>
    <w:p w14:paraId="5A022C0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1.《中华人民共和国突发事件应对法》（主席令第25号修订）</w:t>
      </w:r>
    </w:p>
    <w:p w14:paraId="206065C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2.《中华人民共和国安全生产法》（主席令第88号修订）</w:t>
      </w:r>
    </w:p>
    <w:p w14:paraId="2D2E787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3.《中华人民共和国消防法》（主席令第81号修订）</w:t>
      </w:r>
    </w:p>
    <w:p w14:paraId="6ACF2A0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4.《生产安全事故报告和调查处理条例》（国务院令第493号）</w:t>
      </w:r>
    </w:p>
    <w:p w14:paraId="288CBB2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5.《国家生产安全事故灾难应急预案》（国务院第33次常务会议通过）</w:t>
      </w:r>
    </w:p>
    <w:p w14:paraId="39F52C1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6.《生产安全事故应急条例》（国务院令第708号）</w:t>
      </w:r>
    </w:p>
    <w:p w14:paraId="0DA8AB5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7.《危险化学品安全管理条例》（国务院令第344号公布，2013年国务院令第645号修订）</w:t>
      </w:r>
    </w:p>
    <w:p w14:paraId="1AC3268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8.《生产安全事故应急预案管理办法》（应急管理部第2号令）</w:t>
      </w:r>
    </w:p>
    <w:p w14:paraId="2D0E797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9.</w:t>
      </w:r>
      <w:r>
        <w:rPr>
          <w:rFonts w:hint="eastAsia" w:ascii="仿宋" w:hAnsi="仿宋" w:eastAsia="仿宋" w:cs="仿宋"/>
          <w:color w:val="auto"/>
          <w:spacing w:val="0"/>
          <w:sz w:val="32"/>
          <w:szCs w:val="32"/>
          <w:lang w:val="en-US" w:eastAsia="zh-CN"/>
        </w:rPr>
        <w:t>《黑龙江省人民政府办公厅关于印发〈黑龙江省突发事件应急预案管理办法〉的通知》（黑政办发〔2024〕12号）</w:t>
      </w:r>
    </w:p>
    <w:p w14:paraId="3D2CFC3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10.《黑龙江省安全生产条例》（黑龙江省第十三届人民代表大会常务委员会第三十五次会议通过）</w:t>
      </w:r>
    </w:p>
    <w:p w14:paraId="01D38E3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11.《黑龙江省生产经营单位安全生产主体责任规定》（黑龙江省人民政府2018年12月20日发布）</w:t>
      </w:r>
    </w:p>
    <w:p w14:paraId="2C03801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12.《佳木斯市向阳区突发事件总体应急预案》</w:t>
      </w:r>
    </w:p>
    <w:p w14:paraId="1D56B1D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13.《佳木斯市向阳区生产安全事故应急预案》</w:t>
      </w:r>
    </w:p>
    <w:p w14:paraId="21F1D67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10" w:name="_Toc10405"/>
      <w:bookmarkStart w:id="11" w:name="_Toc7663"/>
      <w:bookmarkStart w:id="12" w:name="_Toc23576"/>
      <w:r>
        <w:rPr>
          <w:rFonts w:hint="eastAsia" w:ascii="楷体" w:hAnsi="楷体" w:eastAsia="楷体" w:cs="楷体"/>
          <w:b w:val="0"/>
          <w:bCs w:val="0"/>
          <w:color w:val="auto"/>
          <w:spacing w:val="0"/>
          <w:sz w:val="32"/>
          <w:szCs w:val="32"/>
          <w:lang w:eastAsia="zh-CN"/>
        </w:rPr>
        <w:t>（三）工作原则</w:t>
      </w:r>
      <w:bookmarkEnd w:id="10"/>
      <w:bookmarkEnd w:id="11"/>
      <w:bookmarkEnd w:id="12"/>
    </w:p>
    <w:p w14:paraId="55BD0D4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危险化学品生产安全事故应急处置工作坚持生命至上、安全第一，统一领导、分级应对，属地为主、条块结合，依法规范、科学处置的原则。</w:t>
      </w:r>
    </w:p>
    <w:p w14:paraId="50B4827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统一指挥，密切合作。有关部门、救援队伍要服从全区的统一指挥，各司其职，各负其责，相互配合，形成合力。</w:t>
      </w:r>
    </w:p>
    <w:p w14:paraId="37FED9B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集中力量，突出重点。在危险化学品发生生产安全事故时，根据事故现场实际情况，以救人为重点，集中力量开展救援工作。</w:t>
      </w:r>
    </w:p>
    <w:p w14:paraId="46F409D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企业自救与社会救援相结合。发生伤亡事故的危险化学品企业，应立即组织应急队伍进行抢险，并做到边抢险边报告，防止事故扩大；及时动员就近社会力量参与救援。</w:t>
      </w:r>
    </w:p>
    <w:p w14:paraId="1B296ED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属地为主，区域化救援。各街道办事处或村屯辖区内发生危险化学品伤亡事故时，首先向区政府报告，启动区级政府事故应急救援预案。</w:t>
      </w:r>
    </w:p>
    <w:p w14:paraId="4321E4C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共同协作，快速救援。任何单位和个人都必须支持、配合事故救援，并提供事故施救所需的一切便利条件。</w:t>
      </w:r>
      <w:bookmarkStart w:id="13" w:name="_Toc31909"/>
      <w:bookmarkStart w:id="14" w:name="_Toc4039"/>
    </w:p>
    <w:p w14:paraId="04B4099C">
      <w:pPr>
        <w:keepNext w:val="0"/>
        <w:keepLines w:val="0"/>
        <w:pageBreakBefore w:val="0"/>
        <w:widowControl w:val="0"/>
        <w:kinsoku w:val="0"/>
        <w:wordWrap/>
        <w:overflowPunct/>
        <w:topLinePunct w:val="0"/>
        <w:autoSpaceDE w:val="0"/>
        <w:autoSpaceDN w:val="0"/>
        <w:bidi w:val="0"/>
        <w:adjustRightInd w:val="0"/>
        <w:snapToGrid w:val="0"/>
        <w:spacing w:line="560" w:lineRule="exact"/>
        <w:ind w:right="79" w:firstLine="640" w:firstLineChars="200"/>
        <w:jc w:val="both"/>
        <w:textAlignment w:val="baseline"/>
        <w:rPr>
          <w:rFonts w:hint="eastAsia" w:ascii="楷体" w:hAnsi="楷体" w:eastAsia="楷体" w:cs="楷体"/>
          <w:b/>
          <w:bCs/>
          <w:color w:val="auto"/>
          <w:spacing w:val="0"/>
          <w:sz w:val="32"/>
          <w:szCs w:val="32"/>
          <w:lang w:eastAsia="zh-CN"/>
        </w:rPr>
      </w:pPr>
      <w:r>
        <w:rPr>
          <w:rFonts w:ascii="楷体" w:hAnsi="楷体" w:eastAsia="楷体" w:cs="楷体"/>
          <w:b w:val="0"/>
          <w:bCs w:val="0"/>
          <w:color w:val="auto"/>
          <w:spacing w:val="0"/>
          <w:sz w:val="32"/>
          <w:szCs w:val="32"/>
          <w:lang w:eastAsia="zh-CN"/>
        </w:rPr>
        <w:t>（四）适用范围</w:t>
      </w:r>
      <w:bookmarkEnd w:id="13"/>
      <w:bookmarkEnd w:id="14"/>
    </w:p>
    <w:p w14:paraId="09E16A2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向阳区管辖区域内发生的危险化学品泄漏、爆炸、燃烧、中毒或窒息等生产安全事故应急救援适用于本预案。</w:t>
      </w:r>
    </w:p>
    <w:p w14:paraId="27B25B1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15" w:name="_Toc16130"/>
      <w:bookmarkStart w:id="16" w:name="_Toc24627"/>
      <w:bookmarkStart w:id="17" w:name="_Toc27989"/>
      <w:r>
        <w:rPr>
          <w:rFonts w:hint="eastAsia" w:ascii="黑体" w:hAnsi="黑体" w:eastAsia="黑体" w:cs="黑体"/>
          <w:color w:val="auto"/>
          <w:spacing w:val="0"/>
          <w:sz w:val="32"/>
          <w:szCs w:val="32"/>
          <w:lang w:eastAsia="zh-CN"/>
        </w:rPr>
        <w:t>二、危险化学品生产安全事故风险分析</w:t>
      </w:r>
      <w:bookmarkEnd w:id="15"/>
      <w:bookmarkEnd w:id="16"/>
      <w:bookmarkEnd w:id="17"/>
    </w:p>
    <w:p w14:paraId="005E7EE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ascii="Times New Roman" w:hAnsi="Times New Roman" w:eastAsia="仿宋_GB2312" w:cs="Times New Roman"/>
          <w:b w:val="0"/>
          <w:bCs w:val="0"/>
          <w:color w:val="auto"/>
          <w:spacing w:val="0"/>
          <w:sz w:val="32"/>
          <w:szCs w:val="32"/>
          <w:lang w:eastAsia="zh-CN"/>
        </w:rPr>
      </w:pPr>
      <w:bookmarkStart w:id="18" w:name="bookmark1"/>
      <w:bookmarkEnd w:id="18"/>
      <w:bookmarkStart w:id="19" w:name="_Toc31703"/>
      <w:bookmarkStart w:id="20" w:name="_Toc191"/>
      <w:bookmarkStart w:id="21" w:name="_Toc18298"/>
      <w:r>
        <w:rPr>
          <w:rFonts w:hint="eastAsia" w:ascii="楷体" w:hAnsi="楷体" w:eastAsia="楷体" w:cs="楷体"/>
          <w:b w:val="0"/>
          <w:bCs w:val="0"/>
          <w:color w:val="auto"/>
          <w:spacing w:val="0"/>
          <w:sz w:val="32"/>
          <w:szCs w:val="32"/>
          <w:lang w:eastAsia="zh-CN"/>
        </w:rPr>
        <w:t>（一）现状及风险分析</w:t>
      </w:r>
      <w:bookmarkEnd w:id="19"/>
      <w:bookmarkEnd w:id="20"/>
      <w:bookmarkEnd w:id="21"/>
    </w:p>
    <w:p w14:paraId="4436C75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全区共有危险化学品从业单位</w:t>
      </w:r>
      <w:r>
        <w:rPr>
          <w:rFonts w:hint="eastAsia" w:ascii="仿宋" w:hAnsi="仿宋" w:eastAsia="仿宋" w:cs="仿宋"/>
          <w:color w:val="auto"/>
          <w:spacing w:val="0"/>
          <w:sz w:val="32"/>
          <w:szCs w:val="32"/>
          <w:lang w:val="en-US" w:eastAsia="zh-CN"/>
        </w:rPr>
        <w:t>20</w:t>
      </w:r>
      <w:r>
        <w:rPr>
          <w:rFonts w:hint="eastAsia" w:ascii="仿宋" w:hAnsi="仿宋" w:eastAsia="仿宋" w:cs="仿宋"/>
          <w:color w:val="auto"/>
          <w:spacing w:val="0"/>
          <w:sz w:val="32"/>
          <w:szCs w:val="32"/>
          <w:lang w:eastAsia="zh-CN"/>
        </w:rPr>
        <w:t>家左右，都是小规模零售单位，包括汽油、柴油、农药、危化品、化学试剂、油漆、氧气乙炔等。</w:t>
      </w:r>
    </w:p>
    <w:p w14:paraId="048B597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1.危险化学品生产安全事故管理重点是经营、储存单位。危险化学品使用单位也比较多，大部分使用量不大，不需要办理危险化学品安全使用许可证。</w:t>
      </w:r>
    </w:p>
    <w:p w14:paraId="70F4C75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2.危险化学品固有的理化性质决定，所有的危险化学品如果管理不当，都可能引发事故。</w:t>
      </w:r>
    </w:p>
    <w:p w14:paraId="798FE72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3.危险化学品生产安全事故类型包括：泄漏、火灾、爆炸中毒，事故具有蔓延迅速、危害严重、影响广泛的特点。</w:t>
      </w:r>
    </w:p>
    <w:p w14:paraId="20A4F81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4.事故涉及危险化学品经营、储存、装卸、运输、使用和废弃等多个环节。</w:t>
      </w:r>
    </w:p>
    <w:p w14:paraId="73CDD06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2" w:name="_Toc15480"/>
      <w:bookmarkStart w:id="23" w:name="_Toc1810"/>
      <w:bookmarkStart w:id="24" w:name="_Toc12868"/>
      <w:r>
        <w:rPr>
          <w:rFonts w:ascii="楷体" w:hAnsi="楷体" w:eastAsia="楷体" w:cs="楷体"/>
          <w:b w:val="0"/>
          <w:bCs w:val="0"/>
          <w:color w:val="auto"/>
          <w:spacing w:val="0"/>
          <w:sz w:val="32"/>
          <w:szCs w:val="32"/>
          <w:lang w:eastAsia="zh-CN"/>
        </w:rPr>
        <w:t>（二）危险化学品生产安全事故分类</w:t>
      </w:r>
      <w:bookmarkEnd w:id="22"/>
      <w:bookmarkEnd w:id="23"/>
      <w:bookmarkEnd w:id="24"/>
    </w:p>
    <w:p w14:paraId="39C222D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危险化学品生产安全事故指危险化学品经营、储存、装卸、运输、使用和废弃危险化学品处置过程中因危险化学品造成人员伤亡、财产损失或环境污染的事故。常见危险化学品生产安全事故类别如下：</w:t>
      </w:r>
    </w:p>
    <w:p w14:paraId="67C071E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b/>
          <w:bCs/>
          <w:color w:val="auto"/>
          <w:spacing w:val="0"/>
          <w:sz w:val="32"/>
          <w:szCs w:val="32"/>
          <w:lang w:val="en-US" w:eastAsia="zh-CN"/>
        </w:rPr>
        <w:t>1.</w:t>
      </w:r>
      <w:r>
        <w:rPr>
          <w:rFonts w:hint="eastAsia" w:ascii="仿宋" w:hAnsi="仿宋" w:eastAsia="仿宋" w:cs="仿宋"/>
          <w:b/>
          <w:bCs/>
          <w:color w:val="auto"/>
          <w:spacing w:val="0"/>
          <w:sz w:val="32"/>
          <w:szCs w:val="32"/>
          <w:lang w:eastAsia="zh-CN"/>
        </w:rPr>
        <w:t>危险化学品火灾事故：</w:t>
      </w:r>
      <w:r>
        <w:rPr>
          <w:rFonts w:hint="eastAsia" w:ascii="仿宋" w:hAnsi="仿宋" w:eastAsia="仿宋" w:cs="仿宋"/>
          <w:color w:val="auto"/>
          <w:spacing w:val="0"/>
          <w:sz w:val="32"/>
          <w:szCs w:val="32"/>
          <w:lang w:eastAsia="zh-CN"/>
        </w:rPr>
        <w:t>指燃烧物质主要为危险化学品的火灾事故。</w:t>
      </w:r>
    </w:p>
    <w:p w14:paraId="5CDE307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val="en-US" w:eastAsia="zh-CN"/>
        </w:rPr>
        <w:t>2.</w:t>
      </w:r>
      <w:r>
        <w:rPr>
          <w:rFonts w:hint="eastAsia" w:ascii="仿宋" w:hAnsi="仿宋" w:eastAsia="仿宋" w:cs="仿宋"/>
          <w:b/>
          <w:bCs/>
          <w:color w:val="auto"/>
          <w:spacing w:val="0"/>
          <w:sz w:val="32"/>
          <w:szCs w:val="32"/>
          <w:lang w:eastAsia="zh-CN"/>
        </w:rPr>
        <w:t>危险化学品爆炸事故：</w:t>
      </w:r>
      <w:r>
        <w:rPr>
          <w:rFonts w:hint="eastAsia" w:ascii="仿宋" w:hAnsi="仿宋" w:eastAsia="仿宋" w:cs="仿宋"/>
          <w:color w:val="auto"/>
          <w:spacing w:val="0"/>
          <w:sz w:val="32"/>
          <w:szCs w:val="32"/>
          <w:lang w:eastAsia="zh-CN"/>
        </w:rPr>
        <w:t>指危险化学品发生化学反应的爆炸事故，以及危险化学品液化气体和压缩气体的物理爆炸事故。</w:t>
      </w:r>
    </w:p>
    <w:p w14:paraId="52F609A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val="en-US" w:eastAsia="zh-CN"/>
        </w:rPr>
        <w:t>3.</w:t>
      </w:r>
      <w:r>
        <w:rPr>
          <w:rFonts w:hint="eastAsia" w:ascii="仿宋" w:hAnsi="仿宋" w:eastAsia="仿宋" w:cs="仿宋"/>
          <w:b/>
          <w:bCs/>
          <w:color w:val="auto"/>
          <w:spacing w:val="0"/>
          <w:sz w:val="32"/>
          <w:szCs w:val="32"/>
          <w:lang w:eastAsia="zh-CN"/>
        </w:rPr>
        <w:t>危险化学品中毒和窒息事故：</w:t>
      </w:r>
      <w:r>
        <w:rPr>
          <w:rFonts w:hint="eastAsia" w:ascii="仿宋" w:hAnsi="仿宋" w:eastAsia="仿宋" w:cs="仿宋"/>
          <w:color w:val="auto"/>
          <w:spacing w:val="0"/>
          <w:sz w:val="32"/>
          <w:szCs w:val="32"/>
          <w:lang w:eastAsia="zh-CN"/>
        </w:rPr>
        <w:t>主要指人体吸入、食入或接触有毒有害化学品或者化学品反应的产物而导致的中毒和窒息事故。具体包括：吸入中毒事故（中毒途径为呼吸道）、接触中毒事故（中毒途径为皮肤、眼睛等）、误食中毒事故（中毒途径为消化道）以及其他中毒和窒息事故。</w:t>
      </w:r>
    </w:p>
    <w:p w14:paraId="43DCAC3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val="en-US" w:eastAsia="zh-CN"/>
        </w:rPr>
        <w:t>4.</w:t>
      </w:r>
      <w:r>
        <w:rPr>
          <w:rFonts w:hint="eastAsia" w:ascii="仿宋" w:hAnsi="仿宋" w:eastAsia="仿宋" w:cs="仿宋"/>
          <w:b/>
          <w:bCs/>
          <w:color w:val="auto"/>
          <w:spacing w:val="0"/>
          <w:sz w:val="32"/>
          <w:szCs w:val="32"/>
          <w:lang w:eastAsia="zh-CN"/>
        </w:rPr>
        <w:t>危险化学品灼伤事故：</w:t>
      </w:r>
      <w:r>
        <w:rPr>
          <w:rFonts w:hint="eastAsia" w:ascii="仿宋" w:hAnsi="仿宋" w:eastAsia="仿宋" w:cs="仿宋"/>
          <w:color w:val="auto"/>
          <w:spacing w:val="0"/>
          <w:sz w:val="32"/>
          <w:szCs w:val="32"/>
          <w:lang w:eastAsia="zh-CN"/>
        </w:rPr>
        <w:t>主要指腐蚀性危险化学品意外地与人体接触，在短时间内即在人体接触表面造成明显破坏的事故。</w:t>
      </w:r>
      <w:r>
        <w:rPr>
          <w:rFonts w:hint="eastAsia" w:ascii="仿宋" w:hAnsi="仿宋" w:eastAsia="仿宋" w:cs="仿宋"/>
          <w:color w:val="auto"/>
          <w:spacing w:val="0"/>
          <w:sz w:val="32"/>
          <w:szCs w:val="32"/>
          <w:lang w:val="en-US" w:eastAsia="zh-CN"/>
        </w:rPr>
        <w:t>具体</w:t>
      </w:r>
      <w:r>
        <w:rPr>
          <w:rFonts w:hint="eastAsia" w:ascii="仿宋" w:hAnsi="仿宋" w:eastAsia="仿宋" w:cs="仿宋"/>
          <w:color w:val="auto"/>
          <w:spacing w:val="0"/>
          <w:sz w:val="32"/>
          <w:szCs w:val="32"/>
          <w:lang w:eastAsia="zh-CN"/>
        </w:rPr>
        <w:t>包括：酸性腐蚀品、碱性腐蚀品和其他不显酸碱性的腐蚀品。</w:t>
      </w:r>
    </w:p>
    <w:p w14:paraId="03C6EF4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val="en-US" w:eastAsia="zh-CN"/>
        </w:rPr>
        <w:t>5.</w:t>
      </w:r>
      <w:r>
        <w:rPr>
          <w:rFonts w:hint="eastAsia" w:ascii="仿宋" w:hAnsi="仿宋" w:eastAsia="仿宋" w:cs="仿宋"/>
          <w:b/>
          <w:bCs/>
          <w:color w:val="auto"/>
          <w:spacing w:val="0"/>
          <w:sz w:val="32"/>
          <w:szCs w:val="32"/>
          <w:lang w:eastAsia="zh-CN"/>
        </w:rPr>
        <w:t>危险化学品泄漏事故：</w:t>
      </w:r>
      <w:r>
        <w:rPr>
          <w:rFonts w:hint="eastAsia" w:ascii="仿宋" w:hAnsi="仿宋" w:eastAsia="仿宋" w:cs="仿宋"/>
          <w:color w:val="auto"/>
          <w:spacing w:val="0"/>
          <w:sz w:val="32"/>
          <w:szCs w:val="32"/>
          <w:lang w:eastAsia="zh-CN"/>
        </w:rPr>
        <w:t>主要指气体或液体危险化学品发生了一定规模的泄漏，造成了严重的财产损失或环境污染等后果的危险化学品生产安全事故。危险化学品泄漏事故容易造成重大火灾、爆炸或中毒事故。</w:t>
      </w:r>
    </w:p>
    <w:p w14:paraId="01D64CF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val="en-US" w:eastAsia="zh-CN"/>
        </w:rPr>
        <w:t>6.</w:t>
      </w:r>
      <w:r>
        <w:rPr>
          <w:rFonts w:hint="eastAsia" w:ascii="仿宋" w:hAnsi="仿宋" w:eastAsia="仿宋" w:cs="仿宋"/>
          <w:b/>
          <w:bCs/>
          <w:color w:val="auto"/>
          <w:spacing w:val="0"/>
          <w:sz w:val="32"/>
          <w:szCs w:val="32"/>
          <w:lang w:eastAsia="zh-CN"/>
        </w:rPr>
        <w:t>其他危险化学品生产安全事故：</w:t>
      </w:r>
      <w:r>
        <w:rPr>
          <w:rFonts w:hint="eastAsia" w:ascii="仿宋" w:hAnsi="仿宋" w:eastAsia="仿宋" w:cs="仿宋"/>
          <w:color w:val="auto"/>
          <w:spacing w:val="0"/>
          <w:sz w:val="32"/>
          <w:szCs w:val="32"/>
          <w:lang w:eastAsia="zh-CN"/>
        </w:rPr>
        <w:t>不能归入上述5类的危险化学品生产安全事故，主要是指危险化学品的险肇事故，即危险化学品发生了人们不希望的意外事件，如盛装危险化学品的罐体、车辆倾倒或倾覆，可能但未发生火灾、爆炸、中毒和窒息、灼伤、泄漏等事故。</w:t>
      </w:r>
    </w:p>
    <w:p w14:paraId="15534ED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25" w:name="_Toc14194"/>
      <w:bookmarkStart w:id="26" w:name="_Toc17882"/>
      <w:bookmarkStart w:id="27" w:name="_Toc20778"/>
      <w:r>
        <w:rPr>
          <w:rFonts w:hint="eastAsia" w:ascii="楷体" w:hAnsi="楷体" w:eastAsia="楷体" w:cs="楷体"/>
          <w:b w:val="0"/>
          <w:bCs w:val="0"/>
          <w:color w:val="auto"/>
          <w:spacing w:val="0"/>
          <w:sz w:val="32"/>
          <w:szCs w:val="32"/>
          <w:lang w:eastAsia="zh-CN"/>
        </w:rPr>
        <w:t>（三）事故分级</w:t>
      </w:r>
      <w:bookmarkEnd w:id="25"/>
      <w:bookmarkEnd w:id="26"/>
      <w:bookmarkEnd w:id="27"/>
    </w:p>
    <w:p w14:paraId="2303389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根据事故的性质、危害程度、涉及范围，危险化学品生产安全事故划分为四级：Ⅰ级（特别重大）、Ⅱ级（重大）、Ⅲ级（较大）和Ⅳ级（一般）。</w:t>
      </w:r>
    </w:p>
    <w:p w14:paraId="3805316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具体分级标准见附件1。</w:t>
      </w:r>
    </w:p>
    <w:p w14:paraId="3A461BD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28" w:name="_Toc7045"/>
      <w:bookmarkStart w:id="29" w:name="_Toc10890"/>
      <w:bookmarkStart w:id="30" w:name="_Toc4188"/>
      <w:r>
        <w:rPr>
          <w:rFonts w:hint="eastAsia" w:ascii="黑体" w:hAnsi="黑体" w:eastAsia="黑体" w:cs="黑体"/>
          <w:color w:val="auto"/>
          <w:spacing w:val="0"/>
          <w:sz w:val="32"/>
          <w:szCs w:val="32"/>
          <w:lang w:eastAsia="zh-CN"/>
        </w:rPr>
        <w:t>三、组织指挥机构</w:t>
      </w:r>
      <w:bookmarkEnd w:id="28"/>
      <w:bookmarkEnd w:id="29"/>
      <w:bookmarkEnd w:id="30"/>
    </w:p>
    <w:p w14:paraId="2EA6902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1" w:name="_Toc26614"/>
      <w:bookmarkStart w:id="32" w:name="_Toc16020"/>
      <w:bookmarkStart w:id="33" w:name="_Toc3983"/>
      <w:r>
        <w:rPr>
          <w:rFonts w:hint="eastAsia" w:ascii="楷体" w:hAnsi="楷体" w:eastAsia="楷体" w:cs="楷体"/>
          <w:b w:val="0"/>
          <w:bCs w:val="0"/>
          <w:color w:val="auto"/>
          <w:spacing w:val="0"/>
          <w:sz w:val="32"/>
          <w:szCs w:val="32"/>
          <w:lang w:eastAsia="zh-CN"/>
        </w:rPr>
        <w:t>（一）应急指挥机构</w:t>
      </w:r>
      <w:bookmarkEnd w:id="31"/>
      <w:bookmarkEnd w:id="32"/>
      <w:bookmarkEnd w:id="33"/>
    </w:p>
    <w:p w14:paraId="46F5C10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1.区安全生产和防灾减灾救灾委员会统一领导全区危险化学品生产安全事故应对工作。</w:t>
      </w:r>
    </w:p>
    <w:p w14:paraId="5CF9EEB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危险化学品生产安全事故发生时，事故单位、事故所在地街道办事处或村屯等及时报告区政府值班室、区应急局，区政府值班室、应急管理局立即报告区安全生产和防灾减灾救灾委员会，区安全生产和防灾减灾救灾委员会决定成立危险化学品生产安全事故应急指挥部，统一组织、指挥协调全区危险化学品经营、储存、使用、装卸突发事件的防范和应对。</w:t>
      </w:r>
    </w:p>
    <w:p w14:paraId="7B48F5B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1"/>
        <w:rPr>
          <w:rFonts w:hint="eastAsia" w:ascii="楷体" w:hAnsi="楷体" w:eastAsia="楷体" w:cs="楷体"/>
          <w:color w:val="auto"/>
          <w:spacing w:val="0"/>
          <w:sz w:val="32"/>
          <w:szCs w:val="32"/>
          <w:lang w:eastAsia="zh-CN"/>
        </w:rPr>
      </w:pPr>
      <w:bookmarkStart w:id="34" w:name="_Toc1221"/>
      <w:bookmarkStart w:id="35" w:name="_Toc9973"/>
      <w:bookmarkStart w:id="36" w:name="_Toc15543"/>
      <w:r>
        <w:rPr>
          <w:rFonts w:hint="eastAsia" w:ascii="楷体" w:hAnsi="楷体" w:eastAsia="楷体" w:cs="楷体"/>
          <w:b/>
          <w:bCs/>
          <w:color w:val="auto"/>
          <w:spacing w:val="0"/>
          <w:sz w:val="32"/>
          <w:szCs w:val="32"/>
          <w:lang w:eastAsia="zh-CN"/>
        </w:rPr>
        <w:t>（二）应急救援机构及职责</w:t>
      </w:r>
      <w:bookmarkEnd w:id="34"/>
      <w:bookmarkEnd w:id="35"/>
      <w:bookmarkEnd w:id="36"/>
    </w:p>
    <w:p w14:paraId="39086A7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1.应急指挥部</w:t>
      </w:r>
    </w:p>
    <w:p w14:paraId="1F347A1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val="en-US"/>
        </w:rPr>
      </w:pPr>
      <w:r>
        <w:rPr>
          <w:rFonts w:hint="eastAsia" w:ascii="仿宋" w:hAnsi="仿宋" w:eastAsia="仿宋" w:cs="仿宋"/>
          <w:color w:val="auto"/>
          <w:spacing w:val="0"/>
          <w:sz w:val="32"/>
          <w:szCs w:val="32"/>
          <w:highlight w:val="none"/>
          <w:lang w:val="en-US"/>
        </w:rPr>
        <w:t>总</w:t>
      </w:r>
      <w:r>
        <w:rPr>
          <w:rFonts w:hint="eastAsia" w:ascii="仿宋" w:hAnsi="仿宋" w:eastAsia="仿宋" w:cs="仿宋"/>
          <w:color w:val="auto"/>
          <w:spacing w:val="0"/>
          <w:sz w:val="32"/>
          <w:szCs w:val="32"/>
          <w:highlight w:val="none"/>
          <w:lang w:val="en-US" w:eastAsia="zh-CN"/>
        </w:rPr>
        <w:t xml:space="preserve"> </w:t>
      </w:r>
      <w:r>
        <w:rPr>
          <w:rFonts w:hint="eastAsia" w:ascii="仿宋" w:hAnsi="仿宋" w:eastAsia="仿宋" w:cs="仿宋"/>
          <w:color w:val="auto"/>
          <w:spacing w:val="0"/>
          <w:sz w:val="32"/>
          <w:szCs w:val="32"/>
          <w:highlight w:val="none"/>
          <w:lang w:val="en-US"/>
        </w:rPr>
        <w:t>指</w:t>
      </w:r>
      <w:r>
        <w:rPr>
          <w:rFonts w:hint="eastAsia" w:ascii="仿宋" w:hAnsi="仿宋" w:eastAsia="仿宋" w:cs="仿宋"/>
          <w:color w:val="auto"/>
          <w:spacing w:val="0"/>
          <w:sz w:val="32"/>
          <w:szCs w:val="32"/>
          <w:highlight w:val="none"/>
          <w:lang w:val="en-US" w:eastAsia="zh-CN"/>
        </w:rPr>
        <w:t xml:space="preserve"> </w:t>
      </w:r>
      <w:r>
        <w:rPr>
          <w:rFonts w:hint="eastAsia" w:ascii="仿宋" w:hAnsi="仿宋" w:eastAsia="仿宋" w:cs="仿宋"/>
          <w:color w:val="auto"/>
          <w:spacing w:val="0"/>
          <w:sz w:val="32"/>
          <w:szCs w:val="32"/>
          <w:highlight w:val="none"/>
          <w:lang w:val="en-US"/>
        </w:rPr>
        <w:t>挥：</w:t>
      </w:r>
      <w:r>
        <w:rPr>
          <w:rFonts w:hint="eastAsia" w:ascii="仿宋" w:hAnsi="仿宋" w:eastAsia="仿宋" w:cs="仿宋"/>
          <w:color w:val="auto"/>
          <w:spacing w:val="0"/>
          <w:sz w:val="32"/>
          <w:szCs w:val="32"/>
          <w:lang w:eastAsia="zh-CN"/>
        </w:rPr>
        <w:t>区委常委、常务副区长</w:t>
      </w:r>
    </w:p>
    <w:p w14:paraId="0E37060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sz w:val="32"/>
          <w:szCs w:val="32"/>
          <w:highlight w:val="none"/>
          <w:lang w:val="en-US"/>
        </w:rPr>
      </w:pPr>
      <w:r>
        <w:rPr>
          <w:rFonts w:hint="eastAsia" w:ascii="仿宋" w:hAnsi="仿宋" w:eastAsia="仿宋" w:cs="仿宋"/>
          <w:color w:val="auto"/>
          <w:spacing w:val="0"/>
          <w:sz w:val="32"/>
          <w:szCs w:val="32"/>
          <w:highlight w:val="none"/>
          <w:lang w:val="en-US"/>
        </w:rPr>
        <w:t>副总</w:t>
      </w:r>
      <w:r>
        <w:rPr>
          <w:rFonts w:hint="eastAsia" w:ascii="仿宋" w:hAnsi="仿宋" w:eastAsia="仿宋" w:cs="仿宋"/>
          <w:color w:val="auto"/>
          <w:spacing w:val="0"/>
          <w:sz w:val="32"/>
          <w:szCs w:val="32"/>
          <w:highlight w:val="none"/>
          <w:lang w:val="en-US"/>
        </w:rPr>
        <w:t>指挥：</w:t>
      </w:r>
      <w:r>
        <w:rPr>
          <w:rFonts w:hint="eastAsia" w:ascii="仿宋" w:hAnsi="仿宋" w:eastAsia="仿宋" w:cs="仿宋"/>
          <w:color w:val="auto"/>
          <w:spacing w:val="0"/>
          <w:sz w:val="32"/>
          <w:szCs w:val="32"/>
          <w:highlight w:val="none"/>
          <w:lang w:val="en-US" w:eastAsia="zh-CN"/>
        </w:rPr>
        <w:t>主</w:t>
      </w:r>
      <w:r>
        <w:rPr>
          <w:rFonts w:hint="eastAsia" w:ascii="仿宋" w:hAnsi="仿宋" w:eastAsia="仿宋" w:cs="仿宋"/>
          <w:color w:val="auto"/>
          <w:spacing w:val="0"/>
          <w:sz w:val="32"/>
          <w:szCs w:val="32"/>
          <w:highlight w:val="none"/>
          <w:lang w:val="en-US"/>
        </w:rPr>
        <w:t>管</w:t>
      </w:r>
      <w:r>
        <w:rPr>
          <w:rFonts w:hint="eastAsia" w:ascii="仿宋" w:hAnsi="仿宋" w:eastAsia="仿宋" w:cs="仿宋"/>
          <w:color w:val="auto"/>
          <w:spacing w:val="0"/>
          <w:sz w:val="32"/>
          <w:szCs w:val="32"/>
          <w:highlight w:val="none"/>
          <w:lang w:val="en-US" w:eastAsia="zh-CN"/>
        </w:rPr>
        <w:t>行业</w:t>
      </w:r>
      <w:r>
        <w:rPr>
          <w:rFonts w:hint="eastAsia" w:ascii="仿宋" w:hAnsi="仿宋" w:eastAsia="仿宋" w:cs="仿宋"/>
          <w:color w:val="auto"/>
          <w:spacing w:val="0"/>
          <w:sz w:val="32"/>
          <w:szCs w:val="32"/>
          <w:highlight w:val="none"/>
          <w:lang w:val="en-US"/>
        </w:rPr>
        <w:t>副区长</w:t>
      </w:r>
    </w:p>
    <w:p w14:paraId="0F10FAB1">
      <w:pPr>
        <w:keepNext w:val="0"/>
        <w:keepLines w:val="0"/>
        <w:pageBreakBefore w:val="0"/>
        <w:widowControl w:val="0"/>
        <w:kinsoku/>
        <w:wordWrap/>
        <w:overflowPunct/>
        <w:topLinePunct w:val="0"/>
        <w:autoSpaceDE w:val="0"/>
        <w:autoSpaceDN w:val="0"/>
        <w:bidi w:val="0"/>
        <w:adjustRightInd/>
        <w:snapToGrid/>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color w:val="auto"/>
          <w:spacing w:val="0"/>
          <w:sz w:val="32"/>
          <w:szCs w:val="32"/>
          <w:highlight w:val="none"/>
          <w:lang w:val="en-US" w:eastAsia="zh-CN"/>
        </w:rPr>
        <w:t>区应急局</w:t>
      </w:r>
      <w:r>
        <w:rPr>
          <w:rFonts w:hint="eastAsia" w:ascii="仿宋" w:hAnsi="仿宋" w:eastAsia="仿宋" w:cs="仿宋"/>
          <w:color w:val="auto"/>
          <w:spacing w:val="0"/>
          <w:sz w:val="32"/>
          <w:szCs w:val="32"/>
          <w:highlight w:val="none"/>
          <w:lang w:val="en-US"/>
        </w:rPr>
        <w:t>局长</w:t>
      </w:r>
    </w:p>
    <w:p w14:paraId="54B819F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主要成员：区委宣传部</w:t>
      </w:r>
    </w:p>
    <w:p w14:paraId="44802ED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区应急局</w:t>
      </w:r>
    </w:p>
    <w:p w14:paraId="737FB41D">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区发改局</w:t>
      </w:r>
    </w:p>
    <w:p w14:paraId="71269E12">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区工信局</w:t>
      </w:r>
    </w:p>
    <w:p w14:paraId="05CADEA2">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区教育局</w:t>
      </w:r>
    </w:p>
    <w:p w14:paraId="04FFD414">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区民政局</w:t>
      </w:r>
    </w:p>
    <w:p w14:paraId="681416C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区财政局</w:t>
      </w:r>
    </w:p>
    <w:p w14:paraId="33F850AD">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区人社局</w:t>
      </w:r>
    </w:p>
    <w:p w14:paraId="0F1248B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区住建局</w:t>
      </w:r>
    </w:p>
    <w:p w14:paraId="26AF5DDD">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区水务局</w:t>
      </w:r>
    </w:p>
    <w:p w14:paraId="7C42D30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区商务局</w:t>
      </w:r>
    </w:p>
    <w:p w14:paraId="4A91C47D">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区卫健局</w:t>
      </w:r>
    </w:p>
    <w:p w14:paraId="7CC46A82">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区市场局</w:t>
      </w:r>
    </w:p>
    <w:p w14:paraId="4290B87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区城管局</w:t>
      </w:r>
    </w:p>
    <w:p w14:paraId="307ADB6E">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向阳公安分局</w:t>
      </w:r>
    </w:p>
    <w:p w14:paraId="66DCD016">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向阳交警大队</w:t>
      </w:r>
    </w:p>
    <w:p w14:paraId="192D38D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区消防救援大队</w:t>
      </w:r>
    </w:p>
    <w:p w14:paraId="4CFDB9DA">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区营商局</w:t>
      </w:r>
    </w:p>
    <w:p w14:paraId="7E7780F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区审计局</w:t>
      </w:r>
    </w:p>
    <w:p w14:paraId="16DAA59A">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向阳生态环境局</w:t>
      </w:r>
    </w:p>
    <w:p w14:paraId="125F3B5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自然资源和规划局一分局</w:t>
      </w:r>
    </w:p>
    <w:p w14:paraId="5D428149">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区信访局</w:t>
      </w:r>
    </w:p>
    <w:p w14:paraId="117C4E04">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区退役军人事务局</w:t>
      </w:r>
    </w:p>
    <w:p w14:paraId="213CCA82">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区文旅局</w:t>
      </w:r>
    </w:p>
    <w:p w14:paraId="6DAD4203">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各街道办事处</w:t>
      </w:r>
    </w:p>
    <w:p w14:paraId="1B8528B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b/>
          <w:bCs/>
          <w:color w:val="auto"/>
          <w:spacing w:val="0"/>
          <w:sz w:val="32"/>
          <w:szCs w:val="32"/>
          <w:lang w:eastAsia="zh-CN"/>
        </w:rPr>
      </w:pPr>
      <w:r>
        <w:rPr>
          <w:rFonts w:hint="eastAsia" w:ascii="仿宋" w:hAnsi="仿宋" w:eastAsia="仿宋" w:cs="仿宋"/>
          <w:snapToGrid w:val="0"/>
          <w:color w:val="auto"/>
          <w:spacing w:val="0"/>
          <w:sz w:val="32"/>
          <w:szCs w:val="32"/>
          <w:lang w:val="en-US" w:eastAsia="zh-CN" w:bidi="ar-SA"/>
        </w:rPr>
        <w:t>各村屯</w:t>
      </w:r>
    </w:p>
    <w:p w14:paraId="010912C4">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相关生产经营单位负责人</w:t>
      </w:r>
    </w:p>
    <w:p w14:paraId="0606A8A4">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sz w:val="32"/>
          <w:szCs w:val="32"/>
          <w:lang w:eastAsia="zh-CN"/>
        </w:rPr>
      </w:pPr>
      <w:r>
        <w:rPr>
          <w:rFonts w:hint="eastAsia" w:ascii="仿宋" w:hAnsi="仿宋" w:eastAsia="仿宋" w:cs="仿宋"/>
          <w:snapToGrid w:val="0"/>
          <w:color w:val="auto"/>
          <w:spacing w:val="0"/>
          <w:sz w:val="32"/>
          <w:szCs w:val="32"/>
          <w:lang w:val="en-US" w:eastAsia="zh-CN" w:bidi="ar-SA"/>
        </w:rPr>
        <w:t>应急指挥部办公室设在区应急局。办公室主任：区应急局局长兼任。</w:t>
      </w:r>
    </w:p>
    <w:p w14:paraId="2A78BA6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（1）应急指挥部职责</w:t>
      </w:r>
    </w:p>
    <w:p w14:paraId="74930BE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①负责事故应急预案的启动和终止。</w:t>
      </w:r>
    </w:p>
    <w:p w14:paraId="483D8A7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②负责事故现场的救援指挥和有关重大事项的决策。</w:t>
      </w:r>
    </w:p>
    <w:p w14:paraId="66F2022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③指挥、协调全区救援队伍和物资，做好危险化学品生产安全事故灾难的预防、控制和救援。</w:t>
      </w:r>
    </w:p>
    <w:p w14:paraId="49EE12B4">
      <w:pPr>
        <w:keepNext w:val="0"/>
        <w:keepLines w:val="0"/>
        <w:pageBreakBefore w:val="0"/>
        <w:widowControl w:val="0"/>
        <w:kinsoku w:val="0"/>
        <w:wordWrap/>
        <w:overflowPunct/>
        <w:topLinePunct w:val="0"/>
        <w:autoSpaceDE w:val="0"/>
        <w:autoSpaceDN w:val="0"/>
        <w:bidi w:val="0"/>
        <w:adjustRightInd w:val="0"/>
        <w:snapToGrid w:val="0"/>
        <w:spacing w:line="560" w:lineRule="exact"/>
        <w:ind w:right="51"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（2）应急指挥部办公室职责</w:t>
      </w:r>
    </w:p>
    <w:p w14:paraId="4D50719C">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①传达应急指挥部的决策、决定。</w:t>
      </w:r>
    </w:p>
    <w:p w14:paraId="22234EE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②整理事故现场危险化学品种类、数量、危险特性等资料，为应急指挥部决策、决定提供依据。</w:t>
      </w:r>
    </w:p>
    <w:p w14:paraId="3F97D17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③提供全区危险化学品生产安全事故应急物资、救援队伍信息。</w:t>
      </w:r>
    </w:p>
    <w:p w14:paraId="3E4B5CE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2.应急指挥部成员单位职责</w:t>
      </w:r>
    </w:p>
    <w:p w14:paraId="6C37FD3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（1）区委宣传部</w:t>
      </w:r>
      <w:r>
        <w:rPr>
          <w:rFonts w:hint="eastAsia" w:ascii="仿宋" w:hAnsi="仿宋" w:eastAsia="仿宋" w:cs="仿宋"/>
          <w:color w:val="auto"/>
          <w:spacing w:val="0"/>
          <w:sz w:val="32"/>
          <w:szCs w:val="32"/>
          <w:lang w:eastAsia="zh-CN"/>
        </w:rPr>
        <w:t>：根据应急指挥部安排，做好危险化学品生产安全事故新闻报道、媒体记者组织、管理和引导工作；负责相关新闻稿件的审阅、批准。</w:t>
      </w:r>
    </w:p>
    <w:p w14:paraId="3AFAAF2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（2）区应急局：</w:t>
      </w:r>
      <w:r>
        <w:rPr>
          <w:rFonts w:hint="eastAsia" w:ascii="仿宋" w:hAnsi="仿宋" w:eastAsia="仿宋" w:cs="仿宋"/>
          <w:color w:val="auto"/>
          <w:spacing w:val="0"/>
          <w:sz w:val="32"/>
          <w:szCs w:val="32"/>
          <w:lang w:eastAsia="zh-CN"/>
        </w:rPr>
        <w:t>负责事故救援的综合组织、指挥协调；负责生产经营单位安全生产及应急管理工作的监督；调拨用于保障受灾人员基本生活的救灾物资；负责危险化学品事故应急处置和救援信息汇总、上报。</w:t>
      </w:r>
    </w:p>
    <w:p w14:paraId="3E1F3D2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（3）区发改局：</w:t>
      </w:r>
      <w:r>
        <w:rPr>
          <w:rFonts w:hint="eastAsia" w:ascii="仿宋" w:hAnsi="仿宋" w:eastAsia="仿宋" w:cs="仿宋"/>
          <w:color w:val="auto"/>
          <w:spacing w:val="0"/>
          <w:sz w:val="32"/>
          <w:szCs w:val="32"/>
          <w:lang w:eastAsia="zh-CN"/>
        </w:rPr>
        <w:t>将事故应急救援体系建设纳入规划。</w:t>
      </w:r>
    </w:p>
    <w:p w14:paraId="4F7A831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（4）区工信</w:t>
      </w:r>
      <w:r>
        <w:rPr>
          <w:rFonts w:hint="eastAsia" w:ascii="仿宋" w:hAnsi="仿宋" w:eastAsia="仿宋" w:cs="仿宋"/>
          <w:b/>
          <w:bCs/>
          <w:color w:val="auto"/>
          <w:spacing w:val="0"/>
          <w:sz w:val="32"/>
          <w:szCs w:val="32"/>
          <w:lang w:eastAsia="zh-CN"/>
        </w:rPr>
        <w:t>局：</w:t>
      </w:r>
      <w:r>
        <w:rPr>
          <w:rFonts w:hint="eastAsia" w:ascii="仿宋" w:hAnsi="仿宋" w:eastAsia="仿宋" w:cs="仿宋"/>
          <w:color w:val="auto"/>
          <w:spacing w:val="0"/>
          <w:sz w:val="32"/>
          <w:szCs w:val="32"/>
          <w:lang w:eastAsia="zh-CN"/>
        </w:rPr>
        <w:t>组织协调事故救援所需工业产品的生产和供应保障；负责协调供电、通讯等保障到位；做好抢修现场的供电、通讯设施和提供相关设备的准备工作。</w:t>
      </w:r>
    </w:p>
    <w:p w14:paraId="2A032B5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（5）区教育局：</w:t>
      </w:r>
      <w:r>
        <w:rPr>
          <w:rFonts w:hint="eastAsia" w:ascii="仿宋" w:hAnsi="仿宋" w:eastAsia="仿宋" w:cs="仿宋"/>
          <w:color w:val="auto"/>
          <w:spacing w:val="0"/>
          <w:sz w:val="32"/>
          <w:szCs w:val="32"/>
          <w:lang w:eastAsia="zh-CN"/>
        </w:rPr>
        <w:t>组织、指导教育系统的危化事故预防及应急管理工作；按要求完成应急指挥部指派的应急处置工作。</w:t>
      </w:r>
    </w:p>
    <w:p w14:paraId="56A1C43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（6）区民政局：</w:t>
      </w:r>
      <w:r>
        <w:rPr>
          <w:rFonts w:hint="eastAsia" w:ascii="仿宋" w:hAnsi="仿宋" w:eastAsia="仿宋" w:cs="仿宋"/>
          <w:color w:val="auto"/>
          <w:spacing w:val="0"/>
          <w:sz w:val="32"/>
          <w:szCs w:val="32"/>
          <w:lang w:eastAsia="zh-CN"/>
        </w:rPr>
        <w:t>负责依据国家有关政策、规定，对因救援救灾受伤或牺牲人员残疾等级和牺牲性质进行认定，并予以优待、抚恤和补助。</w:t>
      </w:r>
    </w:p>
    <w:p w14:paraId="16F0C97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（7）区财政局：</w:t>
      </w:r>
      <w:r>
        <w:rPr>
          <w:rFonts w:hint="eastAsia" w:ascii="仿宋" w:hAnsi="仿宋" w:eastAsia="仿宋" w:cs="仿宋"/>
          <w:color w:val="auto"/>
          <w:spacing w:val="0"/>
          <w:sz w:val="32"/>
          <w:szCs w:val="32"/>
          <w:lang w:eastAsia="zh-CN"/>
        </w:rPr>
        <w:t>按规定落实政府安全生产投入，保证有关部门安全生产工作经费；负责应急救援资金安排和拨付。</w:t>
      </w:r>
    </w:p>
    <w:p w14:paraId="2E6CE9F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（8）区人社局：</w:t>
      </w:r>
      <w:r>
        <w:rPr>
          <w:rFonts w:hint="eastAsia" w:ascii="仿宋" w:hAnsi="仿宋" w:eastAsia="仿宋" w:cs="仿宋"/>
          <w:color w:val="auto"/>
          <w:spacing w:val="0"/>
          <w:sz w:val="32"/>
          <w:szCs w:val="32"/>
          <w:lang w:eastAsia="zh-CN"/>
        </w:rPr>
        <w:t>与市人力资源和社会保障局沟通，督促事故单位做好与生产安全事故有关的工伤申报、认定等工作。</w:t>
      </w:r>
    </w:p>
    <w:p w14:paraId="2359650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（9）区住建局：</w:t>
      </w:r>
      <w:r>
        <w:rPr>
          <w:rFonts w:hint="eastAsia" w:ascii="仿宋" w:hAnsi="仿宋" w:eastAsia="仿宋" w:cs="仿宋"/>
          <w:color w:val="auto"/>
          <w:spacing w:val="0"/>
          <w:sz w:val="32"/>
          <w:szCs w:val="32"/>
          <w:lang w:eastAsia="zh-CN"/>
        </w:rPr>
        <w:t>组织、协调、处置分管行业危险化学品事故应急处置工作；组织提供施救所需的施工机械、救援器材等；负责液化石油气事故抢险、工程抢险专业保障工作；负责与市住建局协调处理天然气事故应急救援工作。</w:t>
      </w:r>
    </w:p>
    <w:p w14:paraId="3784A5E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（10）区水务局：</w:t>
      </w:r>
      <w:r>
        <w:rPr>
          <w:rFonts w:hint="eastAsia" w:ascii="仿宋" w:hAnsi="仿宋" w:eastAsia="仿宋" w:cs="仿宋"/>
          <w:color w:val="auto"/>
          <w:spacing w:val="0"/>
          <w:sz w:val="32"/>
          <w:szCs w:val="32"/>
          <w:lang w:eastAsia="zh-CN"/>
        </w:rPr>
        <w:t>组织协调本系统危险化学品事故灾难应急救援工作。</w:t>
      </w:r>
    </w:p>
    <w:p w14:paraId="76DCDD1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（11）区商务局：</w:t>
      </w:r>
      <w:r>
        <w:rPr>
          <w:rFonts w:hint="eastAsia" w:ascii="仿宋" w:hAnsi="仿宋" w:eastAsia="仿宋" w:cs="仿宋"/>
          <w:color w:val="auto"/>
          <w:spacing w:val="0"/>
          <w:sz w:val="32"/>
          <w:szCs w:val="32"/>
          <w:lang w:eastAsia="zh-CN"/>
        </w:rPr>
        <w:t>负责组织协调受灾地区生活必需品的渠道储备、供应工作。</w:t>
      </w:r>
    </w:p>
    <w:p w14:paraId="121A9D3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（12）区卫健局：</w:t>
      </w:r>
      <w:r>
        <w:rPr>
          <w:rFonts w:hint="eastAsia" w:ascii="仿宋" w:hAnsi="仿宋" w:eastAsia="仿宋" w:cs="仿宋"/>
          <w:color w:val="auto"/>
          <w:spacing w:val="0"/>
          <w:sz w:val="32"/>
          <w:szCs w:val="32"/>
          <w:lang w:eastAsia="zh-CN"/>
        </w:rPr>
        <w:t>组织、协调事故应急医疗救援，及时抢救受伤人员；负责事故区域的卫生防疫。</w:t>
      </w:r>
    </w:p>
    <w:p w14:paraId="220E032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（13）区市场局：</w:t>
      </w:r>
      <w:r>
        <w:rPr>
          <w:rFonts w:hint="eastAsia" w:ascii="仿宋" w:hAnsi="仿宋" w:eastAsia="仿宋" w:cs="仿宋"/>
          <w:color w:val="auto"/>
          <w:spacing w:val="0"/>
          <w:sz w:val="32"/>
          <w:szCs w:val="32"/>
          <w:lang w:eastAsia="zh-CN"/>
        </w:rPr>
        <w:t>负责与市市场监督管理局相关部门联系，配合市市场监督管理局对事发单位与特种设备有关的技术、设备、产品的检测和鉴定。</w:t>
      </w:r>
    </w:p>
    <w:p w14:paraId="0E9B9D2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（14）区城管局：</w:t>
      </w:r>
      <w:r>
        <w:rPr>
          <w:rFonts w:hint="eastAsia" w:ascii="仿宋" w:hAnsi="仿宋" w:eastAsia="仿宋" w:cs="仿宋"/>
          <w:color w:val="auto"/>
          <w:spacing w:val="0"/>
          <w:sz w:val="32"/>
          <w:szCs w:val="32"/>
          <w:lang w:eastAsia="zh-CN"/>
        </w:rPr>
        <w:t>按要求完成指派的应急处置工作，比如协助维持现场秩序和拆除危险化学品企业周边违章建筑等。</w:t>
      </w:r>
    </w:p>
    <w:p w14:paraId="02E98F0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（15）向阳公安分局：</w:t>
      </w:r>
      <w:r>
        <w:rPr>
          <w:rFonts w:hint="eastAsia" w:ascii="仿宋" w:hAnsi="仿宋" w:eastAsia="仿宋" w:cs="仿宋"/>
          <w:color w:val="auto"/>
          <w:spacing w:val="0"/>
          <w:sz w:val="32"/>
          <w:szCs w:val="32"/>
          <w:lang w:eastAsia="zh-CN"/>
        </w:rPr>
        <w:t>负责指导剧毒化学品使用单位的安全生产应急管理工作；负责事故发生区域的社会治安保障工作；负责对事故单位相关责任人的控制；负责按需要组织群众安全转移工作，打击各种犯罪活动。</w:t>
      </w:r>
    </w:p>
    <w:p w14:paraId="5521DF6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（16）向阳交警大队：</w:t>
      </w:r>
      <w:r>
        <w:rPr>
          <w:rFonts w:hint="eastAsia" w:ascii="仿宋" w:hAnsi="仿宋" w:eastAsia="仿宋" w:cs="仿宋"/>
          <w:color w:val="auto"/>
          <w:spacing w:val="0"/>
          <w:sz w:val="32"/>
          <w:szCs w:val="32"/>
          <w:lang w:eastAsia="zh-CN"/>
        </w:rPr>
        <w:t>负责维护事故发生区域交通秩序，保证事故救援交通畅通。</w:t>
      </w:r>
    </w:p>
    <w:p w14:paraId="0F84720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（17）向阳消防救援大队：</w:t>
      </w:r>
      <w:r>
        <w:rPr>
          <w:rFonts w:hint="eastAsia" w:ascii="仿宋" w:hAnsi="仿宋" w:eastAsia="仿宋" w:cs="仿宋"/>
          <w:color w:val="auto"/>
          <w:spacing w:val="0"/>
          <w:sz w:val="32"/>
          <w:szCs w:val="32"/>
          <w:lang w:eastAsia="zh-CN"/>
        </w:rPr>
        <w:t>负责危险化学品应急处置、火灾扑救、人员搜救和事故现场危险物品清理，控制危险源，防止事故扩大及次生灾害发生，承担危险化学品生产安全事故综合应急救援任务。</w:t>
      </w:r>
    </w:p>
    <w:p w14:paraId="6717277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（18）其他单位：</w:t>
      </w:r>
      <w:r>
        <w:rPr>
          <w:rFonts w:hint="eastAsia" w:ascii="仿宋" w:hAnsi="仿宋" w:eastAsia="仿宋" w:cs="仿宋"/>
          <w:color w:val="auto"/>
          <w:spacing w:val="0"/>
          <w:sz w:val="32"/>
          <w:szCs w:val="32"/>
          <w:lang w:eastAsia="zh-CN"/>
        </w:rPr>
        <w:t>按照应急指挥部要求参加应急救援、应急处置工作。</w:t>
      </w:r>
    </w:p>
    <w:p w14:paraId="7E5217E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（19）事故单位所在街道办事处、村屯：</w:t>
      </w:r>
      <w:r>
        <w:rPr>
          <w:rFonts w:hint="eastAsia" w:ascii="仿宋" w:hAnsi="仿宋" w:eastAsia="仿宋" w:cs="仿宋"/>
          <w:color w:val="auto"/>
          <w:spacing w:val="0"/>
          <w:sz w:val="32"/>
          <w:szCs w:val="32"/>
          <w:lang w:eastAsia="zh-CN"/>
        </w:rPr>
        <w:t>负责对辖区内生产经营单位生产安全事故应急管理工作进行监督、检查；生产安全事故发生后，立即指挥辖区内应急力量协助事故单位开展应急救援；负责事故应急救援人员的生活保障；负责受到事故影响人员的临时安置。</w:t>
      </w:r>
    </w:p>
    <w:p w14:paraId="2E6B2B8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（20）专家组：</w:t>
      </w:r>
      <w:r>
        <w:rPr>
          <w:rFonts w:hint="eastAsia" w:ascii="仿宋" w:hAnsi="仿宋" w:eastAsia="仿宋" w:cs="仿宋"/>
          <w:color w:val="auto"/>
          <w:spacing w:val="0"/>
          <w:sz w:val="32"/>
          <w:szCs w:val="32"/>
          <w:lang w:eastAsia="zh-CN"/>
        </w:rPr>
        <w:t>主要由危化、建筑、气象、国土资源、环保、法律等领域专家组成。职责是对事故应急处置方案的制定和实施提供决策咨询建议和技术支持。</w:t>
      </w:r>
    </w:p>
    <w:p w14:paraId="028A335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3.应急工作机构及职责</w:t>
      </w:r>
    </w:p>
    <w:p w14:paraId="75EBE51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（1）抢险救援组</w:t>
      </w:r>
    </w:p>
    <w:p w14:paraId="75C10EB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组成：</w:t>
      </w:r>
      <w:r>
        <w:rPr>
          <w:rFonts w:hint="eastAsia" w:ascii="仿宋" w:hAnsi="仿宋" w:eastAsia="仿宋" w:cs="仿宋"/>
          <w:color w:val="auto"/>
          <w:spacing w:val="0"/>
          <w:sz w:val="32"/>
          <w:szCs w:val="32"/>
          <w:lang w:val="en-US" w:eastAsia="zh-CN"/>
        </w:rPr>
        <w:t>区</w:t>
      </w:r>
      <w:r>
        <w:rPr>
          <w:rFonts w:hint="eastAsia" w:ascii="仿宋" w:hAnsi="仿宋" w:eastAsia="仿宋" w:cs="仿宋"/>
          <w:color w:val="auto"/>
          <w:spacing w:val="0"/>
          <w:sz w:val="32"/>
          <w:szCs w:val="32"/>
          <w:lang w:eastAsia="zh-CN"/>
        </w:rPr>
        <w:t>安防委指定行业主管部门牵头，区应急局、区住建局、区城管局、向阳消防救援大队、供电、供水、通讯、燃气等单位救援人员。</w:t>
      </w:r>
    </w:p>
    <w:p w14:paraId="0A5DFDC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职责：应急救援、危险源控制；火灾扑救、清理现场；受伤、被困人员救护。</w:t>
      </w:r>
    </w:p>
    <w:p w14:paraId="4B34E8D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2</w:t>
      </w:r>
      <w:r>
        <w:rPr>
          <w:rFonts w:hint="eastAsia" w:ascii="仿宋" w:hAnsi="仿宋" w:eastAsia="仿宋" w:cs="仿宋"/>
          <w:b/>
          <w:bCs/>
          <w:color w:val="auto"/>
          <w:spacing w:val="0"/>
          <w:sz w:val="32"/>
          <w:szCs w:val="32"/>
          <w:lang w:eastAsia="zh-CN"/>
        </w:rPr>
        <w:t>）医疗救护组</w:t>
      </w:r>
    </w:p>
    <w:p w14:paraId="0026711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组成：区卫健局</w:t>
      </w:r>
    </w:p>
    <w:p w14:paraId="5DCE233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职责：组织专业救护机构、人员开展现场救护、卫生防疫等工作。</w:t>
      </w:r>
    </w:p>
    <w:p w14:paraId="4829482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（3）安全保卫组</w:t>
      </w:r>
    </w:p>
    <w:p w14:paraId="72C2B6B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组成：向阳公安分局、向阳交警大队</w:t>
      </w:r>
    </w:p>
    <w:p w14:paraId="32E9936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职责：向阳公安分局负责保护事故现场、维护现场秩序、安全保卫和群众疏散；向阳交警大队负责事故现场的交通指挥和交通管制工作。</w:t>
      </w:r>
    </w:p>
    <w:p w14:paraId="45C8C45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（4）工程抢险组</w:t>
      </w:r>
    </w:p>
    <w:p w14:paraId="422102F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组成：区住建局牵头</w:t>
      </w:r>
    </w:p>
    <w:p w14:paraId="077C856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职责：对事故现场的工程和周边被损毁的公共设施进行抢修；抢修电力设施，恢复电力供应；抢修通讯设施，尽快恢复通讯。</w:t>
      </w:r>
    </w:p>
    <w:p w14:paraId="4F16333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（5）物资供应组</w:t>
      </w:r>
    </w:p>
    <w:p w14:paraId="21B8397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组成：区财政局、区商务局、区工信局、事故单位所在街道办事处、村屯</w:t>
      </w:r>
    </w:p>
    <w:p w14:paraId="3381A50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职责：根据事故处置需要，及时提供资金、物资、装备、食品等后勤服务和应急资源保障。</w:t>
      </w:r>
    </w:p>
    <w:p w14:paraId="14FDA3D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w:t>
      </w:r>
      <w:r>
        <w:rPr>
          <w:rFonts w:hint="eastAsia" w:ascii="仿宋" w:hAnsi="仿宋" w:eastAsia="仿宋" w:cs="仿宋"/>
          <w:b/>
          <w:bCs/>
          <w:color w:val="auto"/>
          <w:spacing w:val="0"/>
          <w:sz w:val="32"/>
          <w:szCs w:val="32"/>
          <w:lang w:val="en-US" w:eastAsia="zh-CN"/>
        </w:rPr>
        <w:t>6</w:t>
      </w:r>
      <w:r>
        <w:rPr>
          <w:rFonts w:hint="eastAsia" w:ascii="仿宋" w:hAnsi="仿宋" w:eastAsia="仿宋" w:cs="仿宋"/>
          <w:b/>
          <w:bCs/>
          <w:color w:val="auto"/>
          <w:spacing w:val="0"/>
          <w:sz w:val="32"/>
          <w:szCs w:val="32"/>
          <w:lang w:eastAsia="zh-CN"/>
        </w:rPr>
        <w:t>）通讯联络组</w:t>
      </w:r>
    </w:p>
    <w:p w14:paraId="4934083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组成：区委宣传部牵头，区工信局</w:t>
      </w:r>
    </w:p>
    <w:p w14:paraId="6C2BDFB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职责：统一发布事故信息，客观、公布事故进展、政府举措、公共防范措施；后续信息发布；区工信局负责事故现场与救援指挥部的通讯联络。</w:t>
      </w:r>
    </w:p>
    <w:p w14:paraId="6A33A44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（7）交通运输组</w:t>
      </w:r>
    </w:p>
    <w:p w14:paraId="5A3369B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组成：向阳交警大队牵头</w:t>
      </w:r>
    </w:p>
    <w:p w14:paraId="016AF3A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职责：向阳交警大队负责事故现场的道路交通管理、管制；组织运送救援人员、受灾人员、救援设备和物资、运送受伤人员的车辆优先通行。</w:t>
      </w:r>
    </w:p>
    <w:p w14:paraId="7F1268F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（8）技术支持组</w:t>
      </w:r>
    </w:p>
    <w:p w14:paraId="0052C6D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组成：由区应急局牵头</w:t>
      </w:r>
    </w:p>
    <w:p w14:paraId="02A41BE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职责：负责组织专家制定事故救援方案；分析事故信息和灾害情况；提出救援技术措施，为救援指挥部决策提出科学的意见和建议；提出控制和防止事故扩大的措施；为恢复生产提供技术支持。</w:t>
      </w:r>
    </w:p>
    <w:p w14:paraId="6CD00E7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（9）调查评估组</w:t>
      </w:r>
    </w:p>
    <w:p w14:paraId="04C6E7E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组成：区应急局牵头</w:t>
      </w:r>
    </w:p>
    <w:p w14:paraId="5DBA201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职责：及时查明事故经过及原因，总结处置工作的经验教训，制定整改措施，评估事故损失。</w:t>
      </w:r>
    </w:p>
    <w:p w14:paraId="486EEB0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（10）善后处理组</w:t>
      </w:r>
    </w:p>
    <w:p w14:paraId="623B33F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组成：事故单位及所在街道办事处或村屯组织牵头</w:t>
      </w:r>
    </w:p>
    <w:p w14:paraId="1446B04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职责：实施救助、补偿、抚慰、抚恤等工作，安置、处理在事故中死亡、受伤、受灾人员；接受和管理社会各界捐赠；提供心理咨询辅导和司法援助；预防、解决事故引发的各种矛盾和纠纷。</w:t>
      </w:r>
    </w:p>
    <w:p w14:paraId="76E56A2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黑体" w:hAnsi="黑体" w:eastAsia="黑体" w:cs="黑体"/>
          <w:b w:val="0"/>
          <w:bCs w:val="0"/>
          <w:color w:val="auto"/>
          <w:spacing w:val="0"/>
        </w:rPr>
      </w:pPr>
      <w:bookmarkStart w:id="37" w:name="_Toc23233"/>
      <w:bookmarkStart w:id="38" w:name="_Toc5890"/>
      <w:bookmarkStart w:id="39" w:name="_Toc843"/>
      <w:r>
        <w:rPr>
          <w:rFonts w:hint="eastAsia" w:ascii="黑体" w:hAnsi="黑体" w:eastAsia="黑体" w:cs="黑体"/>
          <w:b w:val="0"/>
          <w:bCs w:val="0"/>
          <w:color w:val="auto"/>
          <w:spacing w:val="0"/>
          <w:lang w:val="en-US"/>
        </w:rPr>
        <w:t>四</w:t>
      </w:r>
      <w:r>
        <w:rPr>
          <w:rFonts w:hint="eastAsia" w:ascii="黑体" w:hAnsi="黑体" w:eastAsia="黑体" w:cs="黑体"/>
          <w:b w:val="0"/>
          <w:bCs w:val="0"/>
          <w:color w:val="auto"/>
          <w:spacing w:val="0"/>
        </w:rPr>
        <w:t>、</w:t>
      </w:r>
      <w:r>
        <w:rPr>
          <w:rFonts w:hint="eastAsia" w:ascii="黑体" w:hAnsi="黑体" w:eastAsia="黑体" w:cs="黑体"/>
          <w:b w:val="0"/>
          <w:bCs w:val="0"/>
          <w:color w:val="auto"/>
          <w:spacing w:val="0"/>
          <w:lang w:val="en-US"/>
        </w:rPr>
        <w:t>风险管控</w:t>
      </w:r>
      <w:bookmarkEnd w:id="37"/>
      <w:bookmarkEnd w:id="38"/>
      <w:bookmarkEnd w:id="39"/>
    </w:p>
    <w:p w14:paraId="5A27777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向阳区</w:t>
      </w:r>
      <w:r>
        <w:rPr>
          <w:rFonts w:hint="eastAsia" w:ascii="仿宋" w:hAnsi="仿宋" w:eastAsia="仿宋" w:cs="仿宋"/>
          <w:color w:val="auto"/>
          <w:spacing w:val="0"/>
          <w:sz w:val="32"/>
          <w:szCs w:val="32"/>
          <w:lang w:val="zh-CN" w:eastAsia="zh-CN"/>
        </w:rPr>
        <w:t>坚持“安全第一、预防为主、综合治理”的方针，通过系统性地识别、评估、控制和监控</w:t>
      </w:r>
      <w:r>
        <w:rPr>
          <w:rFonts w:hint="eastAsia" w:ascii="仿宋" w:hAnsi="仿宋" w:eastAsia="仿宋" w:cs="仿宋"/>
          <w:color w:val="auto"/>
          <w:spacing w:val="0"/>
          <w:sz w:val="32"/>
          <w:szCs w:val="32"/>
          <w:lang w:eastAsia="zh-CN"/>
        </w:rPr>
        <w:t>危险化学品</w:t>
      </w:r>
      <w:r>
        <w:rPr>
          <w:rFonts w:hint="eastAsia" w:ascii="仿宋" w:hAnsi="仿宋" w:eastAsia="仿宋" w:cs="仿宋"/>
          <w:color w:val="auto"/>
          <w:spacing w:val="0"/>
          <w:sz w:val="32"/>
          <w:szCs w:val="32"/>
          <w:lang w:val="zh-CN" w:eastAsia="zh-CN"/>
        </w:rPr>
        <w:t>潜在风险，最大限度地降低突发事件发生的可能性及可能造成的损失，变被动应对为主动防范。</w:t>
      </w:r>
    </w:p>
    <w:p w14:paraId="371F3419">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val="en-US"/>
        </w:rPr>
      </w:pPr>
      <w:bookmarkStart w:id="40" w:name="_Toc18377"/>
      <w:bookmarkStart w:id="41" w:name="_Toc1136"/>
      <w:bookmarkStart w:id="42" w:name="_Toc4258"/>
      <w:r>
        <w:rPr>
          <w:rFonts w:hint="eastAsia" w:ascii="楷体" w:hAnsi="楷体" w:eastAsia="楷体" w:cs="楷体"/>
          <w:b w:val="0"/>
          <w:bCs w:val="0"/>
          <w:color w:val="auto"/>
          <w:spacing w:val="0"/>
          <w:sz w:val="32"/>
          <w:szCs w:val="32"/>
          <w:lang w:val="en-US"/>
        </w:rPr>
        <w:t>（一）风险识别与评估</w:t>
      </w:r>
      <w:bookmarkEnd w:id="40"/>
      <w:bookmarkEnd w:id="41"/>
      <w:bookmarkEnd w:id="42"/>
    </w:p>
    <w:p w14:paraId="431E867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1.全面风险识别：</w:t>
      </w:r>
      <w:r>
        <w:rPr>
          <w:rFonts w:hint="eastAsia" w:ascii="仿宋" w:hAnsi="仿宋" w:eastAsia="仿宋" w:cs="仿宋"/>
          <w:color w:val="auto"/>
          <w:spacing w:val="0"/>
          <w:sz w:val="32"/>
          <w:szCs w:val="32"/>
          <w:lang w:eastAsia="zh-CN"/>
        </w:rPr>
        <w:t>区政府组织各专项应急指挥部、有关部门和街道办事处，依据本预案总则部分对事故灾难事件的分析，结合辖区人口、产业、地理、气候等特点，定期开展全面风险调查。</w:t>
      </w:r>
    </w:p>
    <w:p w14:paraId="05184AF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2.识别范围：</w:t>
      </w:r>
      <w:r>
        <w:rPr>
          <w:rFonts w:hint="eastAsia" w:ascii="仿宋" w:hAnsi="仿宋" w:eastAsia="仿宋" w:cs="仿宋"/>
          <w:color w:val="auto"/>
          <w:spacing w:val="0"/>
          <w:sz w:val="32"/>
          <w:szCs w:val="32"/>
          <w:lang w:eastAsia="zh-CN"/>
        </w:rPr>
        <w:t>覆盖全区各危化行业所有生产经营单位和社会生活环节，重点针对危险化学品单位、商业综合体、交通枢纽、人员密集场所、城市生命线工程（供水、供电、供气、通讯）以及松花江沿岸等重点区域和薄弱环节。</w:t>
      </w:r>
    </w:p>
    <w:p w14:paraId="1001664A">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3.识别方法：</w:t>
      </w:r>
      <w:r>
        <w:rPr>
          <w:rFonts w:hint="eastAsia" w:ascii="仿宋" w:hAnsi="仿宋" w:eastAsia="仿宋" w:cs="仿宋"/>
          <w:color w:val="auto"/>
          <w:spacing w:val="0"/>
          <w:sz w:val="32"/>
          <w:szCs w:val="32"/>
          <w:lang w:eastAsia="zh-CN"/>
        </w:rPr>
        <w:t>综合运用隐患排查、专家检查、舆情分析、案例复盘、公众反映等方式，动态更新风险源信息。</w:t>
      </w:r>
    </w:p>
    <w:p w14:paraId="20BDD5F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4.科学风险评估：</w:t>
      </w:r>
      <w:r>
        <w:rPr>
          <w:rFonts w:hint="eastAsia" w:ascii="仿宋" w:hAnsi="仿宋" w:eastAsia="仿宋" w:cs="仿宋"/>
          <w:color w:val="auto"/>
          <w:spacing w:val="0"/>
          <w:sz w:val="32"/>
          <w:szCs w:val="32"/>
          <w:lang w:eastAsia="zh-CN"/>
        </w:rPr>
        <w:t>对识别出的风险进行分析评估，确定风险等级。</w:t>
      </w:r>
    </w:p>
    <w:p w14:paraId="2DC6173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5.评估标准：</w:t>
      </w:r>
      <w:r>
        <w:rPr>
          <w:rFonts w:hint="eastAsia" w:ascii="仿宋" w:hAnsi="仿宋" w:eastAsia="仿宋" w:cs="仿宋"/>
          <w:color w:val="auto"/>
          <w:spacing w:val="0"/>
          <w:sz w:val="32"/>
          <w:szCs w:val="32"/>
          <w:lang w:eastAsia="zh-CN"/>
        </w:rPr>
        <w:t>采用定性与定量相结合的方法，从事件发生的可能性和后果的严重性两个维度，参照国家和行业标准，对风险进行综合研判。</w:t>
      </w:r>
    </w:p>
    <w:p w14:paraId="53FD2347">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6.风险分级：</w:t>
      </w:r>
      <w:r>
        <w:rPr>
          <w:rFonts w:hint="eastAsia" w:ascii="仿宋" w:hAnsi="仿宋" w:eastAsia="仿宋" w:cs="仿宋"/>
          <w:color w:val="auto"/>
          <w:spacing w:val="0"/>
          <w:sz w:val="32"/>
          <w:szCs w:val="32"/>
          <w:lang w:eastAsia="zh-CN"/>
        </w:rPr>
        <w:t>根据评估结果，将风险划分为重大风险、</w:t>
      </w:r>
      <w:r>
        <w:rPr>
          <w:rFonts w:hint="eastAsia" w:ascii="仿宋" w:hAnsi="仿宋" w:eastAsia="仿宋" w:cs="仿宋"/>
          <w:color w:val="auto"/>
          <w:spacing w:val="0"/>
          <w:sz w:val="32"/>
          <w:szCs w:val="32"/>
          <w:lang w:eastAsia="zh-CN"/>
        </w:rPr>
        <w:t>较大风险、一般风险和低风险四个等级，并建立《向阳区危险化学品安全风险分类分级清单》，作为精准施策的依据。</w:t>
      </w:r>
      <w:bookmarkStart w:id="43" w:name="_Toc24596"/>
      <w:bookmarkStart w:id="44" w:name="_Toc30042"/>
    </w:p>
    <w:p w14:paraId="05344EEA">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val="en-US"/>
        </w:rPr>
      </w:pPr>
      <w:bookmarkStart w:id="45" w:name="_Toc32114"/>
      <w:r>
        <w:rPr>
          <w:rFonts w:hint="eastAsia" w:ascii="楷体" w:hAnsi="楷体" w:eastAsia="楷体" w:cs="楷体"/>
          <w:b w:val="0"/>
          <w:bCs w:val="0"/>
          <w:color w:val="auto"/>
          <w:spacing w:val="0"/>
          <w:sz w:val="32"/>
          <w:szCs w:val="32"/>
          <w:lang w:val="en-US"/>
        </w:rPr>
        <w:t>（二）风险控制与治理</w:t>
      </w:r>
      <w:bookmarkEnd w:id="43"/>
      <w:bookmarkEnd w:id="44"/>
      <w:bookmarkEnd w:id="45"/>
    </w:p>
    <w:p w14:paraId="42C40A0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根据风险评估结果，实行风险分级管控，采取以下针对性控制措施，优先级从高到低依次为：</w:t>
      </w:r>
    </w:p>
    <w:p w14:paraId="75C0752B">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1.消除风险：</w:t>
      </w:r>
      <w:r>
        <w:rPr>
          <w:rFonts w:hint="eastAsia" w:ascii="仿宋" w:hAnsi="仿宋" w:eastAsia="仿宋" w:cs="仿宋"/>
          <w:color w:val="auto"/>
          <w:spacing w:val="0"/>
          <w:sz w:val="32"/>
          <w:szCs w:val="32"/>
          <w:lang w:eastAsia="zh-CN"/>
        </w:rPr>
        <w:t>优化城市规划布局和产业政策，从源头上消除重大风险。对无法消除的重大危险源，鼓励采用先进危化工艺、安全防护设备设施，确保安全生产经营。</w:t>
      </w:r>
    </w:p>
    <w:p w14:paraId="735BE449">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2.技术控制：</w:t>
      </w:r>
      <w:r>
        <w:rPr>
          <w:rFonts w:hint="eastAsia" w:ascii="仿宋" w:hAnsi="仿宋" w:eastAsia="仿宋" w:cs="仿宋"/>
          <w:color w:val="auto"/>
          <w:spacing w:val="0"/>
          <w:sz w:val="32"/>
          <w:szCs w:val="32"/>
          <w:lang w:eastAsia="zh-CN"/>
        </w:rPr>
        <w:t>在重点单位、重点场所和重要设施中，加强危化安全设施建设，如安装自动灭火系统、安全监控报警装置、抗震加固结构等，提升物防技防水平。</w:t>
      </w:r>
    </w:p>
    <w:p w14:paraId="2751B37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3.管理控制：</w:t>
      </w:r>
      <w:r>
        <w:rPr>
          <w:rFonts w:hint="eastAsia" w:ascii="仿宋" w:hAnsi="仿宋" w:eastAsia="仿宋" w:cs="仿宋"/>
          <w:color w:val="auto"/>
          <w:spacing w:val="0"/>
          <w:sz w:val="32"/>
          <w:szCs w:val="32"/>
          <w:lang w:eastAsia="zh-CN"/>
        </w:rPr>
        <w:t>危化行业主管部门、危化品生产经营单位应建立健全安全管理制度、操作规程和应急预案。</w:t>
      </w:r>
    </w:p>
    <w:p w14:paraId="045F9CB4">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4.分级负责：</w:t>
      </w:r>
      <w:r>
        <w:rPr>
          <w:rFonts w:hint="eastAsia" w:ascii="仿宋" w:hAnsi="仿宋" w:eastAsia="仿宋" w:cs="仿宋"/>
          <w:color w:val="auto"/>
          <w:spacing w:val="0"/>
          <w:sz w:val="32"/>
          <w:szCs w:val="32"/>
          <w:lang w:eastAsia="zh-CN"/>
        </w:rPr>
        <w:t>落实属地管理和行业监管责任。重大风险由区政</w:t>
      </w:r>
      <w:r>
        <w:rPr>
          <w:rFonts w:hint="eastAsia" w:ascii="仿宋" w:hAnsi="仿宋" w:eastAsia="仿宋" w:cs="仿宋"/>
          <w:color w:val="auto"/>
          <w:spacing w:val="0"/>
          <w:sz w:val="32"/>
          <w:szCs w:val="32"/>
          <w:lang w:eastAsia="zh-CN"/>
        </w:rPr>
        <w:t>府和</w:t>
      </w:r>
      <w:r>
        <w:rPr>
          <w:rFonts w:hint="eastAsia" w:ascii="仿宋" w:hAnsi="仿宋" w:eastAsia="仿宋" w:cs="仿宋"/>
          <w:color w:val="auto"/>
          <w:spacing w:val="0"/>
          <w:sz w:val="32"/>
          <w:szCs w:val="32"/>
          <w:highlight w:val="none"/>
          <w:lang w:eastAsia="zh-CN"/>
        </w:rPr>
        <w:t>区行业主管部门</w:t>
      </w:r>
      <w:r>
        <w:rPr>
          <w:rFonts w:hint="eastAsia" w:ascii="仿宋" w:hAnsi="仿宋" w:eastAsia="仿宋" w:cs="仿宋"/>
          <w:color w:val="auto"/>
          <w:spacing w:val="0"/>
          <w:sz w:val="32"/>
          <w:szCs w:val="32"/>
          <w:lang w:eastAsia="zh-CN"/>
        </w:rPr>
        <w:t>重点管控；较大及一般风险由各街道办事处发现后上报，由相关部门负责监管，各街道负责配合相关部门做好问题处置或临时性处置措施，跟踪后期整改，对整改不到位或拒不整改的配合相关部门联合执法；企事业单位落实主体责任，管控危险化学品风险。</w:t>
      </w:r>
    </w:p>
    <w:p w14:paraId="630B542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5.隐患排查：</w:t>
      </w:r>
      <w:r>
        <w:rPr>
          <w:rFonts w:hint="eastAsia" w:ascii="仿宋" w:hAnsi="仿宋" w:eastAsia="仿宋" w:cs="仿宋"/>
          <w:color w:val="auto"/>
          <w:spacing w:val="0"/>
          <w:sz w:val="32"/>
          <w:szCs w:val="32"/>
          <w:lang w:eastAsia="zh-CN"/>
        </w:rPr>
        <w:t>建立常态化隐患排查治理机制，对发现的隐患建立台账，明确责任，限期整改，实现闭环管理。</w:t>
      </w:r>
    </w:p>
    <w:p w14:paraId="44A7F67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6.应急准备：</w:t>
      </w:r>
      <w:r>
        <w:rPr>
          <w:rFonts w:hint="eastAsia" w:ascii="仿宋" w:hAnsi="仿宋" w:eastAsia="仿宋" w:cs="仿宋"/>
          <w:color w:val="auto"/>
          <w:spacing w:val="0"/>
          <w:sz w:val="32"/>
          <w:szCs w:val="32"/>
          <w:lang w:eastAsia="zh-CN"/>
        </w:rPr>
        <w:t>对于无法彻底消除的风险，通过编制应急预案、储备应急物资、加强应急演练、建设应急队伍等措施，做好应急准备，降低事件发生后的损失。</w:t>
      </w:r>
    </w:p>
    <w:p w14:paraId="7AA72A1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7.宣传与培训：</w:t>
      </w:r>
      <w:r>
        <w:rPr>
          <w:rFonts w:hint="eastAsia" w:ascii="仿宋" w:hAnsi="仿宋" w:eastAsia="仿宋" w:cs="仿宋"/>
          <w:color w:val="auto"/>
          <w:spacing w:val="0"/>
          <w:sz w:val="32"/>
          <w:szCs w:val="32"/>
          <w:lang w:eastAsia="zh-CN"/>
        </w:rPr>
        <w:t>加强公共安全宣传教育，普及风险防范、避险逃生、自救互救知识和技能，提高全社会风险意识和应对能力。</w:t>
      </w:r>
    </w:p>
    <w:p w14:paraId="7A05AB29">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val="en-US"/>
        </w:rPr>
      </w:pPr>
      <w:bookmarkStart w:id="46" w:name="_Toc6801"/>
      <w:bookmarkStart w:id="47" w:name="_Toc10716"/>
      <w:bookmarkStart w:id="48" w:name="_Toc24878"/>
      <w:r>
        <w:rPr>
          <w:rFonts w:ascii="楷体" w:hAnsi="楷体" w:eastAsia="楷体" w:cs="楷体"/>
          <w:b w:val="0"/>
          <w:bCs w:val="0"/>
          <w:color w:val="auto"/>
          <w:spacing w:val="0"/>
          <w:sz w:val="32"/>
          <w:szCs w:val="32"/>
          <w:lang w:val="en-US"/>
        </w:rPr>
        <w:t>（三）监控与更新</w:t>
      </w:r>
      <w:bookmarkEnd w:id="46"/>
      <w:bookmarkEnd w:id="47"/>
      <w:bookmarkEnd w:id="48"/>
    </w:p>
    <w:p w14:paraId="46842DC5">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1.动态监测：</w:t>
      </w:r>
      <w:r>
        <w:rPr>
          <w:rFonts w:hint="eastAsia" w:ascii="仿宋" w:hAnsi="仿宋" w:eastAsia="仿宋" w:cs="仿宋"/>
          <w:color w:val="auto"/>
          <w:spacing w:val="0"/>
          <w:sz w:val="32"/>
          <w:szCs w:val="32"/>
          <w:lang w:eastAsia="zh-CN"/>
        </w:rPr>
        <w:t>利用物联网、大数据等现代信息技术，对危化品重大风险和重点危险源进行动态监测和跟踪。各有关部门和街道办事处、村屯应定期对职责范围内的风险管控措施落实情况进行监督检查。</w:t>
      </w:r>
    </w:p>
    <w:p w14:paraId="57DCAB5E">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b/>
          <w:bCs/>
          <w:color w:val="auto"/>
          <w:spacing w:val="0"/>
          <w:sz w:val="32"/>
          <w:szCs w:val="32"/>
          <w:lang w:eastAsia="zh-CN"/>
        </w:rPr>
        <w:t>2.定期评审：</w:t>
      </w:r>
      <w:r>
        <w:rPr>
          <w:rFonts w:hint="eastAsia" w:ascii="仿宋" w:hAnsi="仿宋" w:eastAsia="仿宋" w:cs="仿宋"/>
          <w:color w:val="auto"/>
          <w:spacing w:val="0"/>
          <w:sz w:val="32"/>
          <w:szCs w:val="32"/>
          <w:lang w:eastAsia="zh-CN"/>
        </w:rPr>
        <w:t>建立风险动态评估机制。区政府定期组织全区风险形势分析会商。当出现法律法规变化、城市规划调整、产业结构升级、重要设施建设等情形时，应及时组织重新评估，更新风险清单与管控措施。</w:t>
      </w:r>
    </w:p>
    <w:p w14:paraId="47A715F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49" w:name="_Toc746"/>
      <w:bookmarkStart w:id="50" w:name="_Toc12671"/>
      <w:bookmarkStart w:id="51" w:name="_Toc25453"/>
      <w:r>
        <w:rPr>
          <w:rFonts w:hint="eastAsia" w:ascii="黑体" w:hAnsi="黑体" w:eastAsia="黑体" w:cs="黑体"/>
          <w:color w:val="auto"/>
          <w:spacing w:val="0"/>
          <w:sz w:val="32"/>
          <w:szCs w:val="32"/>
          <w:lang w:eastAsia="zh-CN"/>
        </w:rPr>
        <w:t>五、监测预警</w:t>
      </w:r>
      <w:bookmarkEnd w:id="49"/>
      <w:bookmarkEnd w:id="50"/>
      <w:bookmarkEnd w:id="51"/>
    </w:p>
    <w:p w14:paraId="7002258D">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val="en-US"/>
        </w:rPr>
      </w:pPr>
      <w:bookmarkStart w:id="52" w:name="_Toc18222"/>
      <w:bookmarkStart w:id="53" w:name="_Toc932"/>
      <w:bookmarkStart w:id="54" w:name="_Toc23709"/>
      <w:r>
        <w:rPr>
          <w:rFonts w:ascii="楷体" w:hAnsi="楷体" w:eastAsia="楷体" w:cs="楷体"/>
          <w:b w:val="0"/>
          <w:bCs w:val="0"/>
          <w:color w:val="auto"/>
          <w:spacing w:val="0"/>
          <w:sz w:val="32"/>
          <w:szCs w:val="32"/>
          <w:lang w:val="en-US"/>
        </w:rPr>
        <w:t>（一）事故预防</w:t>
      </w:r>
      <w:bookmarkEnd w:id="52"/>
      <w:bookmarkEnd w:id="53"/>
      <w:bookmarkEnd w:id="54"/>
    </w:p>
    <w:p w14:paraId="1D67925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实施危险化学品企业安全评价制度。按照《危险化学品安全管理条例》的规定，从源头上严把危险化学品企业准入关口，防止和减少事故。</w:t>
      </w:r>
    </w:p>
    <w:p w14:paraId="2966518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根据《中华人民共和国安全生产法》《危险化学品安全管理条例》《黑龙江省安全生产条例》等相关法律法规，区应急局要加大对危险化学品企业监督、检查力度，督促企业完善企业安全生产主体责任，街道办事处或村屯必要时要做好相关情况的摸排及线索报送，强化企业从业人员的安全教育，增强防范意识，减少危险化学品生产安全事故发生风险。</w:t>
      </w:r>
    </w:p>
    <w:p w14:paraId="5553534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建立安全隐患有奖举报制度。任何单位和个人有权向政府和区应急局报告和举报危及人民群众生命财产安全的隐患问题。有关部门接到报告、举报后，应立即协调相关部门、单位进行隐患的调查与处理，及时消除事故隐患。</w:t>
      </w:r>
    </w:p>
    <w:p w14:paraId="78AFC34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各街道办事处或村屯应配合行业主管部门，做好辖区内企业主要负责人、安全管理人员的教育培训工作，提高企业管理层的安全意识。</w:t>
      </w:r>
    </w:p>
    <w:p w14:paraId="09E47DB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各危险化学品企业必须根据本预案和单位实际情况制定危险化学品生产安全事故应急预案，建立应急救援队伍，配备应急救援物资，定期组织应急演练，确保在事故发生时能够及时实施有效控制，减少事故损失。</w:t>
      </w:r>
    </w:p>
    <w:p w14:paraId="1DB7FBC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lang w:eastAsia="zh-CN"/>
        </w:rPr>
        <w:t>各危险化学品企业必须严格执行国家的法律法规，按照《黑龙江省生产经营单位安全生产主体责任规定》落实好企业安全生产主体责任，做好日常安全管理，严格执行安全管理规章制度、操作规程，做好安全培训，提高从业人员安全意识和应急处置技能。做好风险管控和隐患排查治理工作，降低事故发生的可能性。</w:t>
      </w:r>
    </w:p>
    <w:p w14:paraId="3641AA8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5" w:name="_Toc25336"/>
      <w:bookmarkStart w:id="56" w:name="_Toc18620"/>
      <w:bookmarkStart w:id="57" w:name="_Toc26976"/>
      <w:r>
        <w:rPr>
          <w:rFonts w:hint="eastAsia" w:ascii="楷体" w:hAnsi="楷体" w:eastAsia="楷体" w:cs="楷体"/>
          <w:b w:val="0"/>
          <w:bCs w:val="0"/>
          <w:color w:val="auto"/>
          <w:spacing w:val="0"/>
          <w:sz w:val="32"/>
          <w:szCs w:val="32"/>
          <w:lang w:eastAsia="zh-CN"/>
        </w:rPr>
        <w:t>（二）事故风险监测</w:t>
      </w:r>
      <w:bookmarkEnd w:id="55"/>
      <w:bookmarkEnd w:id="56"/>
      <w:bookmarkEnd w:id="57"/>
    </w:p>
    <w:p w14:paraId="1038A6BC">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区应急局作为危险化学品企业的行业主管部门和街道办事处、村屯一并做好危险化学品生产安全事故风险的监测。</w:t>
      </w:r>
    </w:p>
    <w:p w14:paraId="6861470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建立危险化学品企业档案，实施分类监管，对重大危险源企业、重点监管企业加大检查力度。</w:t>
      </w:r>
    </w:p>
    <w:p w14:paraId="76EE8B0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对危险化学品企业重大安全隐患进行调查、登记、分级分类管理，督促企业进行整改。</w:t>
      </w:r>
    </w:p>
    <w:p w14:paraId="3858107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应急管理部门和其他负有安全生产监督管理职责在安全生产行政执法检查中发现的事故隐患，责令立即排除；重大事故隐患排除前或者排除过程中无法保证安全的，责令从危险区域撤出作业人员，责令暂时停产停业或者停止使用相关设施设备；重大事故隐患排除后，经审查同意，方可恢复生产经营和使用。</w:t>
      </w:r>
    </w:p>
    <w:p w14:paraId="257D64F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对可能引发危险化学品生产安全事故的其他事故灾害信息进行监控。</w:t>
      </w:r>
    </w:p>
    <w:p w14:paraId="56969A7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对已经发生的危险化学品生产安全事故的发展趋势进行监控。</w:t>
      </w:r>
    </w:p>
    <w:p w14:paraId="6AAFA48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lang w:eastAsia="zh-CN"/>
        </w:rPr>
        <w:t>督促危险化学品企业落实事故隐患排查治理的主体责任，定期组织人员开展隐患排查，对发现的事故隐患进行登记，建立事故隐患档案，实施监控、治理。</w:t>
      </w:r>
    </w:p>
    <w:p w14:paraId="6F48F50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8" w:name="_Toc13212"/>
      <w:bookmarkStart w:id="59" w:name="_Toc20711"/>
      <w:bookmarkStart w:id="60" w:name="_Toc17513"/>
      <w:r>
        <w:rPr>
          <w:rFonts w:hint="eastAsia" w:ascii="楷体" w:hAnsi="楷体" w:eastAsia="楷体" w:cs="楷体"/>
          <w:b w:val="0"/>
          <w:bCs w:val="0"/>
          <w:color w:val="auto"/>
          <w:spacing w:val="0"/>
          <w:sz w:val="32"/>
          <w:szCs w:val="32"/>
          <w:lang w:eastAsia="zh-CN"/>
        </w:rPr>
        <w:t>（三）事故预警</w:t>
      </w:r>
      <w:bookmarkEnd w:id="58"/>
      <w:bookmarkEnd w:id="59"/>
      <w:bookmarkEnd w:id="60"/>
    </w:p>
    <w:p w14:paraId="5CED5A7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1.预警分级</w:t>
      </w:r>
    </w:p>
    <w:p w14:paraId="18B4A5B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危险化学品生产安全事故预警按照事故的紧急程度、发展态势和可能造成的危害，事故预警级别分为四级：Ⅰ级（特别</w:t>
      </w:r>
      <w:r>
        <w:rPr>
          <w:rFonts w:hint="eastAsia" w:ascii="仿宋" w:hAnsi="仿宋" w:eastAsia="仿宋" w:cs="仿宋"/>
          <w:color w:val="auto"/>
          <w:spacing w:val="0"/>
          <w:sz w:val="32"/>
          <w:szCs w:val="32"/>
          <w:lang w:val="en-US" w:eastAsia="zh-CN"/>
        </w:rPr>
        <w:t>重大</w:t>
      </w:r>
      <w:r>
        <w:rPr>
          <w:rFonts w:hint="eastAsia" w:ascii="仿宋" w:hAnsi="仿宋" w:eastAsia="仿宋" w:cs="仿宋"/>
          <w:color w:val="auto"/>
          <w:spacing w:val="0"/>
          <w:sz w:val="32"/>
          <w:szCs w:val="32"/>
          <w:lang w:eastAsia="zh-CN"/>
        </w:rPr>
        <w:t>）、Ⅱ级（</w:t>
      </w:r>
      <w:r>
        <w:rPr>
          <w:rFonts w:hint="eastAsia" w:ascii="仿宋" w:hAnsi="仿宋" w:eastAsia="仿宋" w:cs="仿宋"/>
          <w:color w:val="auto"/>
          <w:spacing w:val="0"/>
          <w:sz w:val="32"/>
          <w:szCs w:val="32"/>
          <w:lang w:val="en-US" w:eastAsia="zh-CN"/>
        </w:rPr>
        <w:t>重大</w:t>
      </w:r>
      <w:r>
        <w:rPr>
          <w:rFonts w:hint="eastAsia" w:ascii="仿宋" w:hAnsi="仿宋" w:eastAsia="仿宋" w:cs="仿宋"/>
          <w:color w:val="auto"/>
          <w:spacing w:val="0"/>
          <w:sz w:val="32"/>
          <w:szCs w:val="32"/>
          <w:lang w:eastAsia="zh-CN"/>
        </w:rPr>
        <w:t>）、Ⅲ级</w:t>
      </w:r>
      <w:r>
        <w:rPr>
          <w:rFonts w:hint="eastAsia" w:ascii="仿宋" w:hAnsi="仿宋" w:eastAsia="仿宋" w:cs="仿宋"/>
          <w:color w:val="auto"/>
          <w:spacing w:val="0"/>
          <w:sz w:val="32"/>
          <w:szCs w:val="32"/>
          <w:lang w:eastAsia="zh-CN"/>
        </w:rPr>
        <w:t>（较大）和Ⅳ级（一般），依次用红色、橙色、黄色和蓝色表示：</w:t>
      </w:r>
    </w:p>
    <w:p w14:paraId="6545CAB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（1）红色（Ⅰ级）：预计可能发生特别重大（Ⅰ级）以上危险化学品生产安全事故；事故会随时发生，事态正在不断蔓延。</w:t>
      </w:r>
    </w:p>
    <w:p w14:paraId="417FF1D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（2）橙色（Ⅱ级）：预计可能发生重大（Ⅱ级）以上危险化学品生产安全事故；事故即将发生，事态正在逐步扩大。</w:t>
      </w:r>
    </w:p>
    <w:p w14:paraId="646E2AA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（3）黄色（Ⅲ级）：预计可能发生较大（Ⅲ级）以上危险化学品生产安全事故；事故已经临近，事态有扩大的趋势。</w:t>
      </w:r>
    </w:p>
    <w:p w14:paraId="71686A6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（4）蓝色（Ⅳ级）：预计可能发生一般（Ⅳ级）危险化学品生产安全事故，事故即将临近，事态可能会扩大。</w:t>
      </w:r>
    </w:p>
    <w:p w14:paraId="4DC670F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黑体" w:hAnsi="黑体" w:eastAsia="黑体" w:cs="黑体"/>
          <w:b/>
          <w:bCs/>
          <w:color w:val="auto"/>
          <w:spacing w:val="0"/>
          <w:sz w:val="32"/>
          <w:szCs w:val="32"/>
          <w:lang w:eastAsia="zh-CN"/>
        </w:rPr>
      </w:pPr>
      <w:r>
        <w:rPr>
          <w:rFonts w:hint="eastAsia" w:ascii="仿宋" w:hAnsi="仿宋" w:eastAsia="仿宋" w:cs="仿宋"/>
          <w:b/>
          <w:bCs/>
          <w:color w:val="auto"/>
          <w:spacing w:val="0"/>
          <w:sz w:val="32"/>
          <w:szCs w:val="32"/>
          <w:lang w:eastAsia="zh-CN"/>
        </w:rPr>
        <w:t>2.预警信息发布</w:t>
      </w:r>
    </w:p>
    <w:p w14:paraId="50E8B0A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危险化学品生产安全事故发生的可能性较大或者已经发生并有扩大的趋势时，区应急局组织相关人员对危险化学品生产安全事故信息进行评估，预测危险化学品生产安全事故发生、扩大的可能性，预测影响范围和强度等，确定危险化学品生产安全事故预警级别。</w:t>
      </w:r>
    </w:p>
    <w:p w14:paraId="09CD2F3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（2）预警级别由区应急局提出，经区安全生产和防灾减灾救灾委员会批准后公布。</w:t>
      </w:r>
    </w:p>
    <w:p w14:paraId="1F98135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（3）预警信息的发布、调整和解除，可通过广播、电视、手机、信息网络、电子显示屏、警报器、宣传车等方式进行。</w:t>
      </w:r>
    </w:p>
    <w:p w14:paraId="282AAE5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（4）对特殊人员、特殊场所及警报盲区，应采取指定专人传递预警信息的方式，确保信息接收。</w:t>
      </w:r>
    </w:p>
    <w:p w14:paraId="086F599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（5）预警信息内容包括但不限于：发布机关、时间、事件类别、预警级别、起始时间、可能影响的范围、警示事项、相关措施和咨询电话等。</w:t>
      </w:r>
    </w:p>
    <w:p w14:paraId="32CC8D6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3.预警行动</w:t>
      </w:r>
    </w:p>
    <w:p w14:paraId="6C58C3C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危险化学品单位发生泄漏或者火灾、爆炸事故，或者有关部门收到可能发生危险化学品生产安全事故的信息后，应及时向区应急局报告。区应急局立即报告区安全生产和防灾减灾救灾委员会，由区安全生产委员会发布预警信息，并成立应急指挥部。</w:t>
      </w:r>
    </w:p>
    <w:p w14:paraId="245BF86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（2）蓝色（Ⅳ级）预警信息发布后，区政府有关部门、街道办事处（</w:t>
      </w:r>
      <w:r>
        <w:rPr>
          <w:rFonts w:hint="eastAsia" w:ascii="仿宋" w:hAnsi="仿宋" w:eastAsia="仿宋" w:cs="仿宋"/>
          <w:color w:val="auto"/>
          <w:spacing w:val="0"/>
          <w:sz w:val="32"/>
          <w:szCs w:val="32"/>
          <w:lang w:val="en-US" w:eastAsia="zh-CN"/>
        </w:rPr>
        <w:t>或村屯</w:t>
      </w:r>
      <w:r>
        <w:rPr>
          <w:rFonts w:hint="eastAsia" w:ascii="仿宋" w:hAnsi="仿宋" w:eastAsia="仿宋" w:cs="仿宋"/>
          <w:color w:val="auto"/>
          <w:spacing w:val="0"/>
          <w:sz w:val="32"/>
          <w:szCs w:val="32"/>
          <w:lang w:eastAsia="zh-CN"/>
        </w:rPr>
        <w:t>）、事故主管单位、相关单位执行24小时值班制度，及时收集、报告有关信息，应时刻关注预警信息更新，加强事态发展情况的监测、预报工作；危险化学品生产企业应组织应急救援队伍在现场待命，准备好应急物资，随时准备处置突发事故或者参加应急救援；事故所在街道办事处或村屯组织内部应急救援队伍进入备战状态；应急指挥部办公室对收集到的监测、预报信息及时进行研判，做好启动本预案Ⅳ级响应程序的准备，必要时召集专业应急指挥人员、相关专家待命，时刻准备到现场指挥或协助应急救援行动。</w:t>
      </w:r>
    </w:p>
    <w:p w14:paraId="775516A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（3）如果Ⅳ级响应没有控制事态发展，应急指挥部办公室应及时报告区安全生产和防灾减灾救灾委员会，申请提高预警级别。</w:t>
      </w:r>
    </w:p>
    <w:p w14:paraId="1651F37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黄色等级（Ⅲ级）预警信息发布后，应急指挥部主要成员24小时值班，区内专业救援队伍、其他企业的兼职救援队伍应随时待命；专家组全体待命；应急指挥部办公室把接收到的救援信息立即报送给区安全生产和防灾减灾救灾委员会成员单位，以便及时会商，启动Ⅲ级响应。</w:t>
      </w:r>
    </w:p>
    <w:p w14:paraId="60F5A8B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（5）如果Ⅲ级响应无法控制事态发展，应急指挥部办公室应及时将情况报告区安全生产和防灾减灾救灾委员会主要负责人，申请提高预警级别。</w:t>
      </w:r>
    </w:p>
    <w:p w14:paraId="4B5767A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（6）橙色（Ⅱ级）预警发布后，区安防办应及时向市危险化学品生产安全事故应急指挥部申请人员、物资支援，准备启动Ⅱ级响应。</w:t>
      </w:r>
    </w:p>
    <w:p w14:paraId="73312BD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（7）如果Ⅱ级响应无法控制事态发展，应急指挥部办公室应及时将情况报告区安全生产和防灾减灾救灾委员会主要负责人，经市危险化学品生产安全事故应急指挥部批准，提高预警级别。</w:t>
      </w:r>
    </w:p>
    <w:p w14:paraId="406BC8B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（8）红色（Ⅰ级）预警信息发布后，市应急指挥部申请黑龙江省危险化学品生产安全事故应急指挥部申请人员、物资支援，准备启动Ⅰ级响应。</w:t>
      </w:r>
    </w:p>
    <w:p w14:paraId="01FF3C9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4.预警级别调整</w:t>
      </w:r>
    </w:p>
    <w:p w14:paraId="37C4443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（1）根据危险化学品生产安全事故的发展态势和应急处置情况，区安全生产和防灾减灾救灾委员会可视情况对预警级别作出调整。</w:t>
      </w:r>
    </w:p>
    <w:p w14:paraId="7F7A109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（2）涉及跨区域、跨行业、跨部门预警信息的发布、调整和解除，须报区委、区政府批准。</w:t>
      </w:r>
    </w:p>
    <w:p w14:paraId="08DBE93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（3）需要升级响应的，区政府、区应急局分别向市政府、市应急管理局报告。</w:t>
      </w:r>
    </w:p>
    <w:p w14:paraId="778FCEC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（4）报告内容包括但不限于：预警类别、级别、预警单位或位置、可能发生的风险类别、严重程度等。</w:t>
      </w:r>
      <w:bookmarkStart w:id="61" w:name="_Toc20019"/>
      <w:bookmarkStart w:id="62" w:name="_Toc14048"/>
    </w:p>
    <w:p w14:paraId="62FBBD2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63" w:name="_Toc31686"/>
      <w:r>
        <w:rPr>
          <w:rFonts w:hint="eastAsia" w:ascii="黑体" w:hAnsi="黑体" w:eastAsia="黑体" w:cs="黑体"/>
          <w:color w:val="auto"/>
          <w:spacing w:val="0"/>
          <w:sz w:val="32"/>
          <w:szCs w:val="32"/>
          <w:lang w:eastAsia="zh-CN"/>
        </w:rPr>
        <w:t>六、事故信息报告</w:t>
      </w:r>
      <w:bookmarkEnd w:id="61"/>
      <w:bookmarkEnd w:id="62"/>
      <w:bookmarkEnd w:id="63"/>
    </w:p>
    <w:p w14:paraId="6E94182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64" w:name="_Toc17301"/>
      <w:bookmarkStart w:id="65" w:name="_Toc27098"/>
      <w:bookmarkStart w:id="66" w:name="_Toc5071"/>
      <w:r>
        <w:rPr>
          <w:rFonts w:hint="eastAsia" w:ascii="楷体" w:hAnsi="楷体" w:eastAsia="楷体" w:cs="楷体"/>
          <w:b w:val="0"/>
          <w:bCs w:val="0"/>
          <w:color w:val="auto"/>
          <w:spacing w:val="0"/>
          <w:sz w:val="32"/>
          <w:szCs w:val="32"/>
          <w:lang w:eastAsia="zh-CN"/>
        </w:rPr>
        <w:t>（一）事故单位报告及处置</w:t>
      </w:r>
      <w:bookmarkEnd w:id="64"/>
      <w:bookmarkEnd w:id="65"/>
      <w:bookmarkEnd w:id="66"/>
    </w:p>
    <w:p w14:paraId="427020C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1.危险化学品企业发生事故后，现场人员立即报告本单位负责人，同时要积极开展自救和互救。</w:t>
      </w:r>
    </w:p>
    <w:p w14:paraId="62A5851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2.事故单位负责人接到事故报告后，应立即启动企业内部的应急预案，组织内部救援力量开展抢险救援工作，并在15分钟内向区应急局、街道办事处（</w:t>
      </w:r>
      <w:r>
        <w:rPr>
          <w:rFonts w:hint="eastAsia" w:ascii="仿宋" w:hAnsi="仿宋" w:eastAsia="仿宋" w:cs="仿宋"/>
          <w:color w:val="auto"/>
          <w:spacing w:val="0"/>
          <w:sz w:val="32"/>
          <w:szCs w:val="32"/>
          <w:lang w:val="en-US" w:eastAsia="zh-CN"/>
        </w:rPr>
        <w:t>或村屯</w:t>
      </w:r>
      <w:r>
        <w:rPr>
          <w:rFonts w:hint="eastAsia" w:ascii="仿宋" w:hAnsi="仿宋" w:eastAsia="仿宋" w:cs="仿宋"/>
          <w:color w:val="auto"/>
          <w:spacing w:val="0"/>
          <w:sz w:val="32"/>
          <w:szCs w:val="32"/>
          <w:lang w:eastAsia="zh-CN"/>
        </w:rPr>
        <w:t>）和其他负有安全生产监督管理职责的部门报告。发生较大以上事故或较大涉险事故还应同时报告市应急管理局和负有安全生产监督管理职责的行业主管部门。如发生火灾事故，应立即拨打119电话报警。</w:t>
      </w:r>
    </w:p>
    <w:p w14:paraId="02F0DD8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67" w:name="_Toc20388"/>
      <w:bookmarkStart w:id="68" w:name="_Toc12939"/>
      <w:bookmarkStart w:id="69" w:name="_Toc23986"/>
      <w:r>
        <w:rPr>
          <w:rFonts w:ascii="楷体" w:hAnsi="楷体" w:eastAsia="楷体" w:cs="楷体"/>
          <w:b w:val="0"/>
          <w:bCs w:val="0"/>
          <w:color w:val="auto"/>
          <w:spacing w:val="0"/>
          <w:sz w:val="32"/>
          <w:szCs w:val="32"/>
          <w:lang w:eastAsia="zh-CN"/>
        </w:rPr>
        <w:t>（二）事故信息上报</w:t>
      </w:r>
      <w:bookmarkEnd w:id="67"/>
      <w:bookmarkEnd w:id="68"/>
      <w:bookmarkEnd w:id="69"/>
    </w:p>
    <w:p w14:paraId="6D6ECFF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1.应急管理局和其他负有安全生产监督管理职责的行业主管部门在接到一般事故报告后半小时内，报告市应急管理局和负有安全生产监督管理职责的行业主管部门，同时报告区政府。区政府应立即报告市政府。</w:t>
      </w:r>
    </w:p>
    <w:p w14:paraId="4F2D2DB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应急管理局、负有安全生产监督管理职责的行业主管部门在接到较大以上事故或较大以上涉险事故报告后1小时内，直接上报省应急管理厅和负有安全生产监督管理职责的行业主管部门，同时报告市应急管理局、负有安全生产监督管理职责的行业主管部门、区政府。区政府应立即报告市政府。</w:t>
      </w:r>
    </w:p>
    <w:p w14:paraId="133FC77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3.发生较大、重大、特别重大危险化学品生产安全事故，相关部门和单位要及时主动向应急指挥部办公室、有关部门提供与事故应急处置有关的资料。</w:t>
      </w:r>
    </w:p>
    <w:p w14:paraId="10D4992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4.如果事故灾难可能危及毗邻的地区，要及时通报并加强联系和协调。</w:t>
      </w:r>
    </w:p>
    <w:p w14:paraId="4703E3A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70" w:name="_Toc30274"/>
      <w:bookmarkStart w:id="71" w:name="_Toc14727"/>
      <w:bookmarkStart w:id="72" w:name="_Toc11208"/>
      <w:r>
        <w:rPr>
          <w:rFonts w:hint="eastAsia" w:ascii="楷体" w:hAnsi="楷体" w:eastAsia="楷体" w:cs="楷体"/>
          <w:b w:val="0"/>
          <w:bCs w:val="0"/>
          <w:color w:val="auto"/>
          <w:spacing w:val="0"/>
          <w:sz w:val="32"/>
          <w:szCs w:val="32"/>
          <w:lang w:eastAsia="zh-CN"/>
        </w:rPr>
        <w:t>（三）事故报告的主要内容</w:t>
      </w:r>
      <w:bookmarkEnd w:id="70"/>
      <w:bookmarkEnd w:id="71"/>
      <w:bookmarkEnd w:id="72"/>
    </w:p>
    <w:p w14:paraId="7B4154E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val="en-US" w:eastAsia="zh-CN"/>
        </w:rPr>
        <w:t>1.</w:t>
      </w:r>
      <w:r>
        <w:rPr>
          <w:rFonts w:hint="eastAsia" w:ascii="仿宋" w:hAnsi="仿宋" w:eastAsia="仿宋" w:cs="仿宋"/>
          <w:b/>
          <w:bCs/>
          <w:color w:val="auto"/>
          <w:spacing w:val="0"/>
          <w:sz w:val="32"/>
          <w:szCs w:val="32"/>
          <w:lang w:eastAsia="zh-CN"/>
        </w:rPr>
        <w:t>生产经营单位、应急管理局、负有安全生产监督管理职责的行业主管部门、区政府应按照下列内容报告事故情况：</w:t>
      </w:r>
    </w:p>
    <w:p w14:paraId="14624C6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）事故发生单位名称、地址、性质、产能等基本情况；</w:t>
      </w:r>
    </w:p>
    <w:p w14:paraId="1A1AC1D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）事故发生时间、地点以及事故现场情况；</w:t>
      </w:r>
    </w:p>
    <w:p w14:paraId="0F8B69E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）事故简要经过（包括抢险救援情况）；</w:t>
      </w:r>
    </w:p>
    <w:p w14:paraId="726B05C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4</w:t>
      </w:r>
      <w:r>
        <w:rPr>
          <w:rFonts w:hint="eastAsia" w:ascii="仿宋" w:hAnsi="仿宋" w:eastAsia="仿宋" w:cs="仿宋"/>
          <w:color w:val="auto"/>
          <w:spacing w:val="0"/>
          <w:sz w:val="32"/>
          <w:szCs w:val="32"/>
          <w:lang w:eastAsia="zh-CN"/>
        </w:rPr>
        <w:t>）事故已经造成或可能造成的伤亡人数（包括下落不明、涉险的人数），初步估计直接经济损失；</w:t>
      </w:r>
    </w:p>
    <w:p w14:paraId="0ECA9AD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）事故现场草图；</w:t>
      </w:r>
    </w:p>
    <w:p w14:paraId="0DA2C5E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6</w:t>
      </w:r>
      <w:r>
        <w:rPr>
          <w:rFonts w:hint="eastAsia" w:ascii="仿宋" w:hAnsi="仿宋" w:eastAsia="仿宋" w:cs="仿宋"/>
          <w:color w:val="auto"/>
          <w:spacing w:val="0"/>
          <w:sz w:val="32"/>
          <w:szCs w:val="32"/>
          <w:lang w:eastAsia="zh-CN"/>
        </w:rPr>
        <w:t>）其他应当报告的情况。</w:t>
      </w:r>
    </w:p>
    <w:p w14:paraId="388F17A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val="en-US" w:eastAsia="zh-CN"/>
        </w:rPr>
        <w:t>2.</w:t>
      </w:r>
      <w:r>
        <w:rPr>
          <w:rFonts w:hint="eastAsia" w:ascii="仿宋" w:hAnsi="仿宋" w:eastAsia="仿宋" w:cs="仿宋"/>
          <w:b/>
          <w:bCs/>
          <w:color w:val="auto"/>
          <w:spacing w:val="0"/>
          <w:sz w:val="32"/>
          <w:szCs w:val="32"/>
          <w:lang w:eastAsia="zh-CN"/>
        </w:rPr>
        <w:t>事故具体情况暂时不清楚的，应先使用电话快报；30分钟内补报全面的文字报告（包括事故现场草图）。电话快报包括以下内容：</w:t>
      </w:r>
    </w:p>
    <w:p w14:paraId="648BD26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lang w:eastAsia="zh-CN"/>
        </w:rPr>
        <w:t>）事故发生单位名称、地址、性质；</w:t>
      </w:r>
    </w:p>
    <w:p w14:paraId="6313F76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2</w:t>
      </w:r>
      <w:r>
        <w:rPr>
          <w:rFonts w:hint="eastAsia" w:ascii="仿宋" w:hAnsi="仿宋" w:eastAsia="仿宋" w:cs="仿宋"/>
          <w:color w:val="auto"/>
          <w:spacing w:val="0"/>
          <w:sz w:val="32"/>
          <w:szCs w:val="32"/>
          <w:lang w:eastAsia="zh-CN"/>
        </w:rPr>
        <w:t>）事故发生时间、地点；</w:t>
      </w:r>
    </w:p>
    <w:p w14:paraId="10084FB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lang w:eastAsia="zh-CN"/>
        </w:rPr>
        <w:t>）事故已经造成或可能造成的伤亡人数（包括下落不明、涉险的人数）。</w:t>
      </w:r>
    </w:p>
    <w:p w14:paraId="29E7ED8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73" w:name="_Toc1369"/>
      <w:bookmarkStart w:id="74" w:name="_Toc6555"/>
      <w:bookmarkStart w:id="75" w:name="_Toc7573"/>
      <w:r>
        <w:rPr>
          <w:rFonts w:hint="eastAsia" w:ascii="黑体" w:hAnsi="黑体" w:eastAsia="黑体" w:cs="黑体"/>
          <w:color w:val="auto"/>
          <w:spacing w:val="0"/>
          <w:sz w:val="32"/>
          <w:szCs w:val="32"/>
          <w:lang w:eastAsia="zh-CN"/>
        </w:rPr>
        <w:t>七、组织自救互救</w:t>
      </w:r>
      <w:bookmarkEnd w:id="73"/>
      <w:bookmarkEnd w:id="74"/>
      <w:bookmarkEnd w:id="75"/>
    </w:p>
    <w:p w14:paraId="418F8AF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76" w:name="bookmark63"/>
      <w:bookmarkEnd w:id="76"/>
      <w:bookmarkStart w:id="77" w:name="_Toc23406"/>
      <w:bookmarkStart w:id="78" w:name="_Toc26964"/>
      <w:bookmarkStart w:id="79" w:name="_Toc2138"/>
      <w:r>
        <w:rPr>
          <w:rFonts w:hint="eastAsia" w:ascii="楷体" w:hAnsi="楷体" w:eastAsia="楷体" w:cs="楷体"/>
          <w:b w:val="0"/>
          <w:bCs w:val="0"/>
          <w:color w:val="auto"/>
          <w:spacing w:val="0"/>
          <w:sz w:val="32"/>
          <w:szCs w:val="32"/>
          <w:lang w:eastAsia="zh-CN"/>
        </w:rPr>
        <w:t>（一）分级响应</w:t>
      </w:r>
      <w:bookmarkEnd w:id="77"/>
      <w:bookmarkEnd w:id="78"/>
      <w:bookmarkEnd w:id="79"/>
    </w:p>
    <w:p w14:paraId="3AD3E1E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在危险化学品生产经营过程中</w:t>
      </w:r>
      <w:r>
        <w:rPr>
          <w:rFonts w:hint="eastAsia" w:ascii="仿宋" w:hAnsi="仿宋" w:eastAsia="仿宋" w:cs="仿宋"/>
          <w:color w:val="auto"/>
          <w:spacing w:val="0"/>
          <w:sz w:val="32"/>
          <w:szCs w:val="32"/>
          <w:lang w:eastAsia="zh-CN"/>
        </w:rPr>
        <w:t>发生的事故，按照生产安全事故分级标准，应急响应级别原则上分为Ⅰ级响应、Ⅱ级响应、Ⅲ级响应、Ⅳ级响应。</w:t>
      </w:r>
    </w:p>
    <w:p w14:paraId="6D8F2F0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仿宋_GB2312" w:cs="Times New Roman"/>
          <w:b/>
          <w:bCs/>
          <w:color w:val="auto"/>
          <w:spacing w:val="0"/>
          <w:sz w:val="32"/>
          <w:szCs w:val="32"/>
          <w:lang w:eastAsia="zh-CN"/>
        </w:rPr>
      </w:pPr>
      <w:r>
        <w:rPr>
          <w:rFonts w:hint="eastAsia" w:ascii="仿宋" w:hAnsi="仿宋" w:eastAsia="仿宋" w:cs="仿宋"/>
          <w:b/>
          <w:bCs/>
          <w:color w:val="auto"/>
          <w:spacing w:val="0"/>
          <w:sz w:val="32"/>
          <w:szCs w:val="32"/>
          <w:lang w:eastAsia="zh-CN"/>
        </w:rPr>
        <w:t>1.出现下列情况之一的，启动Ⅳ级应急响应：</w:t>
      </w:r>
    </w:p>
    <w:p w14:paraId="290B983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（1）造成1人死亡（含失踪），或5人以下重伤或直接经济损失500万元以下的</w:t>
      </w:r>
      <w:r>
        <w:rPr>
          <w:rFonts w:hint="eastAsia" w:ascii="仿宋" w:hAnsi="仿宋" w:eastAsia="仿宋" w:cs="仿宋"/>
          <w:color w:val="auto"/>
          <w:spacing w:val="0"/>
          <w:sz w:val="32"/>
          <w:szCs w:val="32"/>
          <w:highlight w:val="none"/>
          <w:lang w:eastAsia="zh-CN"/>
        </w:rPr>
        <w:t>一般危险化学品生产安全事故</w:t>
      </w:r>
      <w:r>
        <w:rPr>
          <w:rFonts w:hint="eastAsia" w:ascii="仿宋" w:hAnsi="仿宋" w:eastAsia="仿宋" w:cs="仿宋"/>
          <w:color w:val="auto"/>
          <w:spacing w:val="0"/>
          <w:sz w:val="32"/>
          <w:szCs w:val="32"/>
          <w:lang w:eastAsia="zh-CN"/>
        </w:rPr>
        <w:t>。</w:t>
      </w:r>
    </w:p>
    <w:p w14:paraId="3CDABE2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（2）区安全生产和防灾减灾救灾委员会认为有必要响应的危险化学品生产安全事故。</w:t>
      </w:r>
    </w:p>
    <w:p w14:paraId="2EBDF85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2.出现下列情况之一的，启动Ⅲ级应急响应：</w:t>
      </w:r>
    </w:p>
    <w:p w14:paraId="48EE274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lang w:eastAsia="zh-CN"/>
        </w:rPr>
        <w:t>（1）造成2人死亡（含失踪），或5人以上10人以下重伤或直接经济损失500万元以上1000万元以下的</w:t>
      </w:r>
      <w:r>
        <w:rPr>
          <w:rFonts w:hint="eastAsia" w:ascii="仿宋" w:hAnsi="仿宋" w:eastAsia="仿宋" w:cs="仿宋"/>
          <w:color w:val="auto"/>
          <w:spacing w:val="0"/>
          <w:sz w:val="32"/>
          <w:szCs w:val="32"/>
          <w:highlight w:val="none"/>
          <w:lang w:eastAsia="zh-CN"/>
        </w:rPr>
        <w:t>一般危险化学品生产安全事故。</w:t>
      </w:r>
    </w:p>
    <w:p w14:paraId="7366D08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（2）区安全生产和防灾减灾救灾委员会认为有必要响应的危险化学品生产安全事故。</w:t>
      </w:r>
    </w:p>
    <w:p w14:paraId="4A5A81D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3.出现下列情况之一的，启动Ⅱ级应急响应：</w:t>
      </w:r>
    </w:p>
    <w:p w14:paraId="0D33006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（1）造成3人以上10人以下死亡（含失踪），或10人以上50人以下重伤（中毒），或直接经济损失1000万元以上5000万元以下的</w:t>
      </w:r>
      <w:r>
        <w:rPr>
          <w:rFonts w:hint="eastAsia" w:ascii="仿宋" w:hAnsi="仿宋" w:eastAsia="仿宋" w:cs="仿宋"/>
          <w:color w:val="auto"/>
          <w:spacing w:val="0"/>
          <w:sz w:val="32"/>
          <w:szCs w:val="32"/>
          <w:highlight w:val="none"/>
          <w:lang w:eastAsia="zh-CN"/>
        </w:rPr>
        <w:t>较大危险化学品生产安全事故。</w:t>
      </w:r>
    </w:p>
    <w:p w14:paraId="78A2275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（2）超出区政府应急处置能力的危险化学品生产安全事故。</w:t>
      </w:r>
    </w:p>
    <w:p w14:paraId="7FCCCF0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（3）事故影响超出向阳区行政区域的危险化学品生产安全事故。</w:t>
      </w:r>
    </w:p>
    <w:p w14:paraId="6F2E70C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（4）市政府认为有必要响应的危险化学品生产安全事故。</w:t>
      </w:r>
    </w:p>
    <w:p w14:paraId="63A9F95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仿宋_GB2312" w:cs="Times New Roman"/>
          <w:b/>
          <w:bCs/>
          <w:color w:val="auto"/>
          <w:spacing w:val="0"/>
          <w:sz w:val="32"/>
          <w:szCs w:val="32"/>
          <w:lang w:eastAsia="zh-CN"/>
        </w:rPr>
      </w:pPr>
      <w:r>
        <w:rPr>
          <w:rFonts w:hint="eastAsia" w:ascii="仿宋" w:hAnsi="仿宋" w:eastAsia="仿宋" w:cs="仿宋"/>
          <w:b/>
          <w:bCs/>
          <w:color w:val="auto"/>
          <w:spacing w:val="0"/>
          <w:sz w:val="32"/>
          <w:szCs w:val="32"/>
          <w:lang w:eastAsia="zh-CN"/>
        </w:rPr>
        <w:t>4.出现下列情况之一的，启动Ⅰ级应急响应：</w:t>
      </w:r>
    </w:p>
    <w:p w14:paraId="0ACF06C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lang w:eastAsia="zh-CN"/>
        </w:rPr>
        <w:t>（1）造成10人以上30人以下死亡（含失踪），或危及10 人以上30人以下生命安全，或50人以上100人以下重伤（中毒），或直接经济损失5000万元以上1亿元以下的</w:t>
      </w:r>
      <w:r>
        <w:rPr>
          <w:rFonts w:hint="eastAsia" w:ascii="仿宋" w:hAnsi="仿宋" w:eastAsia="仿宋" w:cs="仿宋"/>
          <w:color w:val="auto"/>
          <w:spacing w:val="0"/>
          <w:sz w:val="32"/>
          <w:szCs w:val="32"/>
          <w:highlight w:val="none"/>
          <w:lang w:eastAsia="zh-CN"/>
        </w:rPr>
        <w:t>重大危险化学品生产安全事故。</w:t>
      </w:r>
    </w:p>
    <w:p w14:paraId="4343AC0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（2）已经危及周边社区、居民的生命财产安全，造成重大社会影响。</w:t>
      </w:r>
    </w:p>
    <w:p w14:paraId="162C4B9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（3）超出市政府应急处置能力的危险化学品生产安全事故。</w:t>
      </w:r>
    </w:p>
    <w:p w14:paraId="3C5B88D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80" w:name="_Toc26132"/>
      <w:bookmarkStart w:id="81" w:name="_Toc5787"/>
      <w:bookmarkStart w:id="82" w:name="_Toc13712"/>
      <w:r>
        <w:rPr>
          <w:rFonts w:hint="eastAsia" w:ascii="楷体" w:hAnsi="楷体" w:eastAsia="楷体" w:cs="楷体"/>
          <w:b w:val="0"/>
          <w:bCs w:val="0"/>
          <w:color w:val="auto"/>
          <w:spacing w:val="0"/>
          <w:sz w:val="32"/>
          <w:szCs w:val="32"/>
          <w:lang w:eastAsia="zh-CN"/>
        </w:rPr>
        <w:t>（二）响应程序</w:t>
      </w:r>
      <w:bookmarkEnd w:id="80"/>
      <w:bookmarkEnd w:id="81"/>
      <w:bookmarkEnd w:id="82"/>
    </w:p>
    <w:p w14:paraId="1E9C619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1.Ⅳ级应急响应启动</w:t>
      </w:r>
    </w:p>
    <w:p w14:paraId="7057AE8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（1）危险化学品企业发生生产安全事故后，企业负责人立即组织内部应急救援队伍实施救援。</w:t>
      </w:r>
    </w:p>
    <w:p w14:paraId="6ECF230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（2）如果内部救援力量不足无法控制事态发展，或者事故有扩大风险，事故单位负责人应立即拨打119联动报警电话，请求专业救援队伍支援。区内承担应急救援职责的部门随时做好参加应急救援的准备。</w:t>
      </w:r>
    </w:p>
    <w:p w14:paraId="1B7F56A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（3）区应急局接到事故报告后，立即报告区安全生产和防灾减灾救灾委员会负责人。区安全生产和防灾减灾救灾委员会及时成立应急指挥部、启动Ⅳ级应急响应，对事故应急救援给予技术指导。</w:t>
      </w:r>
    </w:p>
    <w:p w14:paraId="7F2C046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（4）各街道办事处或村屯、有关部门立即启动并实施本部门应急预案，协调组织应急力量开展应急救援等工作。</w:t>
      </w:r>
    </w:p>
    <w:p w14:paraId="56B2DFE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（5）启动Ⅳ级应急响应后，区应急指挥部或其他有关应急指挥机构组织、指挥、协调、调度所属区域内有关应急力量和资源，统一实施应急处置。</w:t>
      </w:r>
    </w:p>
    <w:p w14:paraId="2744892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2.Ⅲ级应急响应启动</w:t>
      </w:r>
    </w:p>
    <w:p w14:paraId="0B4E1D5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（1）如果Ⅳ级应急响应没有快速控制事态发展，或者事故范围扩大，或者影响到周边其他行政区域，应急指挥部应及时申请，经区安全生产和防灾减灾救灾委员会批准后升级为Ⅲ级响应。</w:t>
      </w:r>
    </w:p>
    <w:p w14:paraId="4EC7943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（2）应急指挥部副总指挥、其他成员及应急队伍立即成立现场指挥部，调动区内应急救援力量展开救援。</w:t>
      </w:r>
    </w:p>
    <w:p w14:paraId="598D585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（3）必要时总指挥赴事故地点亲自指挥，各街道办事处、有关部门、辖区内所有的应急救援力量应听从指挥。</w:t>
      </w:r>
    </w:p>
    <w:p w14:paraId="1E821BE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（4）超出应急救援处置能力时，应急指挥部及时上报区安全生产和防灾减灾救灾委员会，由区安全生产和防灾减灾救灾委员会报请市安全生产和防灾减灾救灾委员会进行支援或启动市级应急预案。</w:t>
      </w:r>
    </w:p>
    <w:p w14:paraId="007640A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3.Ⅱ级应急响应启动</w:t>
      </w:r>
    </w:p>
    <w:p w14:paraId="539AC2D9">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（1）如果Ⅲ级应急响应没有控制事态发展，或者事故影响范围继续扩大，经市安全生产和防灾减灾救灾委员会批准，升级为Ⅱ级应急响应。</w:t>
      </w:r>
    </w:p>
    <w:p w14:paraId="7331CE8E">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（2）Ⅱ级应急响应启动后，市危险化学品生产安全事故应急指挥部主要成员带领市应急救援队伍参加应急救援行动。</w:t>
      </w:r>
    </w:p>
    <w:p w14:paraId="58CE0D14">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（3）应急救援行动应在市危险化学品生产安全事故应急指挥部的直接指挥下进行。</w:t>
      </w:r>
    </w:p>
    <w:p w14:paraId="73D89CE4">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（4）区应急指挥部主要成员指挥区内所有的救援队伍、救援物资投入到应急救援行动中。</w:t>
      </w:r>
    </w:p>
    <w:p w14:paraId="5807D4DB">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（5）超出应急救援处置能力时，市危险化学品生产安全事故应急指挥部及时报请省级应急救援指挥机构启动省级应急预案。</w:t>
      </w:r>
    </w:p>
    <w:p w14:paraId="3F7DC37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4.Ⅰ级应急响应启动</w:t>
      </w:r>
    </w:p>
    <w:p w14:paraId="56C10B11">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（1）Ⅰ级响应需经市危险化学品生产安全事故应急指挥部批准，经省安全生产和防灾减灾救灾委员会批准后启动。</w:t>
      </w:r>
    </w:p>
    <w:p w14:paraId="46D26CA8">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（2）启动Ⅰ级应急响应后，在省危险化学品生产安全事故应急指挥部的直接指挥下开展救援行动。</w:t>
      </w:r>
    </w:p>
    <w:p w14:paraId="119F4EF0">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（3）区应急指挥部指挥区主要成员指挥区内所有的救援队伍、救援物资投入到应急救援行动中。</w:t>
      </w:r>
    </w:p>
    <w:p w14:paraId="27A401DD">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（4）需要应急管理部参与救援指挥时，由省危险化学品生产安全事故应急指挥部提出申请。</w:t>
      </w:r>
    </w:p>
    <w:p w14:paraId="59E8495C">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lang w:eastAsia="zh-CN"/>
        </w:rPr>
        <w:t>发生在本区范围内的一般危险化学品生产安全事故，如果不具有扩散性，无需抢救人员，未造成环境危害，可不全面启动应急响应，直接进入善后处理、事故调查程序。</w:t>
      </w:r>
    </w:p>
    <w:p w14:paraId="48682AE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83" w:name="_Toc18851"/>
      <w:bookmarkStart w:id="84" w:name="_Toc1549"/>
      <w:bookmarkStart w:id="85" w:name="_Toc6819"/>
      <w:r>
        <w:rPr>
          <w:rFonts w:hint="eastAsia" w:ascii="黑体" w:hAnsi="黑体" w:eastAsia="黑体" w:cs="黑体"/>
          <w:color w:val="auto"/>
          <w:spacing w:val="0"/>
          <w:sz w:val="32"/>
          <w:szCs w:val="32"/>
          <w:lang w:eastAsia="zh-CN"/>
        </w:rPr>
        <w:t>八、现场管控</w:t>
      </w:r>
      <w:bookmarkEnd w:id="83"/>
      <w:bookmarkEnd w:id="84"/>
      <w:bookmarkEnd w:id="85"/>
      <w:bookmarkStart w:id="86" w:name="bookmark64"/>
      <w:bookmarkEnd w:id="86"/>
      <w:bookmarkStart w:id="87" w:name="_Toc19844"/>
      <w:bookmarkStart w:id="88" w:name="_Toc11275"/>
    </w:p>
    <w:p w14:paraId="75C9122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楷体" w:hAnsi="楷体" w:eastAsia="楷体" w:cs="楷体"/>
          <w:b w:val="0"/>
          <w:bCs w:val="0"/>
          <w:color w:val="auto"/>
          <w:spacing w:val="0"/>
          <w:sz w:val="32"/>
          <w:szCs w:val="32"/>
          <w:lang w:eastAsia="zh-CN"/>
        </w:rPr>
      </w:pPr>
      <w:bookmarkStart w:id="89" w:name="_Toc19940"/>
      <w:r>
        <w:rPr>
          <w:rFonts w:hint="eastAsia" w:ascii="楷体" w:hAnsi="楷体" w:eastAsia="楷体" w:cs="楷体"/>
          <w:b w:val="0"/>
          <w:bCs w:val="0"/>
          <w:color w:val="auto"/>
          <w:spacing w:val="0"/>
          <w:sz w:val="32"/>
          <w:szCs w:val="32"/>
          <w:lang w:eastAsia="zh-CN"/>
        </w:rPr>
        <w:t>（一）先期处置</w:t>
      </w:r>
      <w:bookmarkEnd w:id="87"/>
      <w:bookmarkEnd w:id="88"/>
      <w:bookmarkEnd w:id="89"/>
    </w:p>
    <w:p w14:paraId="3DCAB56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1.专业救援队伍接警后立即赶往事故现场，根据事故单位提供的信息展开现场处置。</w:t>
      </w:r>
    </w:p>
    <w:p w14:paraId="249D98F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2.按照不同的事故类型，采取紧急处置的措施：断电、断气、对泄漏物进行收集、扑救火灾等。</w:t>
      </w:r>
    </w:p>
    <w:p w14:paraId="4D021B3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3.救援队对被困的人员实施救援。</w:t>
      </w:r>
    </w:p>
    <w:p w14:paraId="64D9EA0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4.了解事故现场周边的情况，清除可能影响救援甚至可能造成事故扩大的物资、能源等因素。</w:t>
      </w:r>
    </w:p>
    <w:p w14:paraId="16F34C4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5.事故单位所在街道办事处或村屯等，应组织群众开展自救、互救，协助涉事企业做好营救受伤害人员、搜寻、疏散、撤离、临时安置受到威胁的人员；协助公安等部门做好控制危险源、标明危险区域、 封锁危险场所等措施，维护社会秩序。及时向应急管理局报告事态进展情况。</w:t>
      </w:r>
    </w:p>
    <w:p w14:paraId="0EC336A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6.做好事故现场的风险分析，确定人员疏散、交通控制、救援物资供应、受伤人员安置等方案。</w:t>
      </w:r>
    </w:p>
    <w:p w14:paraId="7214C19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7.事故影响可能超出本单位范围的，事故单位要及时将险情通报给周边单位和人员。</w:t>
      </w:r>
    </w:p>
    <w:p w14:paraId="2152BF2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8.事故单位所在街道办事处或村屯组织社会力量协助救援，包括自救互救、协助维持秩序等。</w:t>
      </w:r>
    </w:p>
    <w:p w14:paraId="7E7C0F2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90" w:name="_Toc5639"/>
      <w:bookmarkStart w:id="91" w:name="_Toc16967"/>
      <w:bookmarkStart w:id="92" w:name="_Toc21573"/>
      <w:r>
        <w:rPr>
          <w:rFonts w:hint="eastAsia" w:ascii="楷体" w:hAnsi="楷体" w:eastAsia="楷体" w:cs="楷体"/>
          <w:b w:val="0"/>
          <w:bCs w:val="0"/>
          <w:color w:val="auto"/>
          <w:spacing w:val="0"/>
          <w:sz w:val="32"/>
          <w:szCs w:val="32"/>
          <w:lang w:eastAsia="zh-CN"/>
        </w:rPr>
        <w:t>（二）应急救援机构的行动</w:t>
      </w:r>
      <w:bookmarkEnd w:id="90"/>
      <w:bookmarkEnd w:id="91"/>
      <w:bookmarkEnd w:id="92"/>
    </w:p>
    <w:p w14:paraId="785E897C">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各应急机构按照职责分工，在应急指挥部的指挥下参加救援行动。</w:t>
      </w:r>
    </w:p>
    <w:p w14:paraId="5DCD41F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1.抢险救援：</w:t>
      </w:r>
      <w:r>
        <w:rPr>
          <w:rFonts w:hint="eastAsia" w:ascii="仿宋" w:hAnsi="仿宋" w:eastAsia="仿宋" w:cs="仿宋"/>
          <w:color w:val="auto"/>
          <w:spacing w:val="0"/>
          <w:sz w:val="32"/>
          <w:szCs w:val="32"/>
          <w:lang w:eastAsia="zh-CN"/>
        </w:rPr>
        <w:t>在掌握现场实际情况及专家意见的基础上确定救援方案并实施；要记录好进入现场救援人员的数量，确保配备必要的安全防护装备，协助受困人员转移到安全区域；开展危险化学品处置、火灾扑救、工程加固等工作，防止事故扩大和次生衍生事故的发生。</w:t>
      </w:r>
    </w:p>
    <w:p w14:paraId="2668C4E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w:t>
      </w:r>
      <w:r>
        <w:rPr>
          <w:rFonts w:hint="eastAsia" w:ascii="仿宋" w:hAnsi="仿宋" w:eastAsia="仿宋" w:cs="仿宋"/>
          <w:b/>
          <w:bCs/>
          <w:color w:val="auto"/>
          <w:spacing w:val="0"/>
          <w:sz w:val="32"/>
          <w:szCs w:val="32"/>
          <w:lang w:val="en-US" w:eastAsia="zh-CN"/>
        </w:rPr>
        <w:t>.</w:t>
      </w:r>
      <w:r>
        <w:rPr>
          <w:rFonts w:hint="eastAsia" w:ascii="仿宋" w:hAnsi="仿宋" w:eastAsia="仿宋" w:cs="仿宋"/>
          <w:b/>
          <w:bCs/>
          <w:color w:val="auto"/>
          <w:spacing w:val="0"/>
          <w:sz w:val="32"/>
          <w:szCs w:val="32"/>
          <w:lang w:eastAsia="zh-CN"/>
        </w:rPr>
        <w:t>医疗救护：</w:t>
      </w:r>
      <w:r>
        <w:rPr>
          <w:rFonts w:hint="eastAsia" w:ascii="仿宋" w:hAnsi="仿宋" w:eastAsia="仿宋" w:cs="仿宋"/>
          <w:color w:val="auto"/>
          <w:spacing w:val="0"/>
          <w:sz w:val="32"/>
          <w:szCs w:val="32"/>
          <w:lang w:eastAsia="zh-CN"/>
        </w:rPr>
        <w:t>在安全区域设立临时医疗点，为事故受伤人员、抢险救援人员、受灾群众提供紧急处置，将伤者送往医院实施治疗。</w:t>
      </w:r>
    </w:p>
    <w:p w14:paraId="1C56846C">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3</w:t>
      </w:r>
      <w:r>
        <w:rPr>
          <w:rFonts w:hint="eastAsia" w:ascii="仿宋" w:hAnsi="仿宋" w:eastAsia="仿宋" w:cs="仿宋"/>
          <w:b/>
          <w:bCs/>
          <w:color w:val="auto"/>
          <w:spacing w:val="0"/>
          <w:sz w:val="32"/>
          <w:szCs w:val="32"/>
          <w:lang w:val="en-US" w:eastAsia="zh-CN"/>
        </w:rPr>
        <w:t>.</w:t>
      </w:r>
      <w:r>
        <w:rPr>
          <w:rFonts w:hint="eastAsia" w:ascii="仿宋" w:hAnsi="仿宋" w:eastAsia="仿宋" w:cs="仿宋"/>
          <w:b/>
          <w:bCs/>
          <w:color w:val="auto"/>
          <w:spacing w:val="0"/>
          <w:sz w:val="32"/>
          <w:szCs w:val="32"/>
          <w:lang w:eastAsia="zh-CN"/>
        </w:rPr>
        <w:t>安全保卫：</w:t>
      </w:r>
      <w:r>
        <w:rPr>
          <w:rFonts w:hint="eastAsia" w:ascii="仿宋" w:hAnsi="仿宋" w:eastAsia="仿宋" w:cs="仿宋"/>
          <w:color w:val="auto"/>
          <w:spacing w:val="0"/>
          <w:sz w:val="32"/>
          <w:szCs w:val="32"/>
          <w:lang w:eastAsia="zh-CN"/>
        </w:rPr>
        <w:t>根据现场指挥部、专家的意见确立隔离区，将警戒隔离区内与救援无关人员撤离至安全区。疏散过程中应避免穿过危险区，指导疏散人员就地取材，用毛巾、口罩、湿布等捂住口鼻，采取简单有效的防护措施。设立隔离区警示标志，对通往事故现场的道路实施交通控制。</w:t>
      </w:r>
    </w:p>
    <w:p w14:paraId="3E22E70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4</w:t>
      </w:r>
      <w:r>
        <w:rPr>
          <w:rFonts w:hint="eastAsia" w:ascii="仿宋" w:hAnsi="仿宋" w:eastAsia="仿宋" w:cs="仿宋"/>
          <w:b/>
          <w:bCs/>
          <w:color w:val="auto"/>
          <w:spacing w:val="0"/>
          <w:sz w:val="32"/>
          <w:szCs w:val="32"/>
          <w:lang w:val="en-US" w:eastAsia="zh-CN"/>
        </w:rPr>
        <w:t>.</w:t>
      </w:r>
      <w:r>
        <w:rPr>
          <w:rFonts w:hint="eastAsia" w:ascii="仿宋" w:hAnsi="仿宋" w:eastAsia="仿宋" w:cs="仿宋"/>
          <w:b/>
          <w:bCs/>
          <w:color w:val="auto"/>
          <w:spacing w:val="0"/>
          <w:sz w:val="32"/>
          <w:szCs w:val="32"/>
          <w:lang w:eastAsia="zh-CN"/>
        </w:rPr>
        <w:t>工程抢险：</w:t>
      </w:r>
      <w:r>
        <w:rPr>
          <w:rFonts w:hint="eastAsia" w:ascii="仿宋" w:hAnsi="仿宋" w:eastAsia="仿宋" w:cs="仿宋"/>
          <w:color w:val="auto"/>
          <w:spacing w:val="0"/>
          <w:sz w:val="32"/>
          <w:szCs w:val="32"/>
          <w:lang w:eastAsia="zh-CN"/>
        </w:rPr>
        <w:t>工程抢险组按照应急指挥部的要求保证救援所需水、电供应。</w:t>
      </w:r>
    </w:p>
    <w:p w14:paraId="5C06799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5</w:t>
      </w:r>
      <w:r>
        <w:rPr>
          <w:rFonts w:hint="eastAsia" w:ascii="仿宋" w:hAnsi="仿宋" w:eastAsia="仿宋" w:cs="仿宋"/>
          <w:b/>
          <w:bCs/>
          <w:color w:val="auto"/>
          <w:spacing w:val="0"/>
          <w:sz w:val="32"/>
          <w:szCs w:val="32"/>
          <w:lang w:val="en-US" w:eastAsia="zh-CN"/>
        </w:rPr>
        <w:t>.</w:t>
      </w:r>
      <w:r>
        <w:rPr>
          <w:rFonts w:hint="eastAsia" w:ascii="仿宋" w:hAnsi="仿宋" w:eastAsia="仿宋" w:cs="仿宋"/>
          <w:b/>
          <w:bCs/>
          <w:color w:val="auto"/>
          <w:spacing w:val="0"/>
          <w:sz w:val="32"/>
          <w:szCs w:val="32"/>
          <w:lang w:eastAsia="zh-CN"/>
        </w:rPr>
        <w:t>现场监测：</w:t>
      </w:r>
      <w:r>
        <w:rPr>
          <w:rFonts w:hint="eastAsia" w:ascii="仿宋" w:hAnsi="仿宋" w:eastAsia="仿宋" w:cs="仿宋"/>
          <w:color w:val="auto"/>
          <w:spacing w:val="0"/>
          <w:sz w:val="32"/>
          <w:szCs w:val="32"/>
          <w:lang w:eastAsia="zh-CN"/>
        </w:rPr>
        <w:t>向阳生态环境局负责协调市生态环境局提供应急支援，做好事故现场的环境监测，提供动态监测信息。</w:t>
      </w:r>
    </w:p>
    <w:p w14:paraId="7F73ABE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6</w:t>
      </w:r>
      <w:r>
        <w:rPr>
          <w:rFonts w:hint="eastAsia" w:ascii="仿宋" w:hAnsi="仿宋" w:eastAsia="仿宋" w:cs="仿宋"/>
          <w:b/>
          <w:bCs/>
          <w:color w:val="auto"/>
          <w:spacing w:val="0"/>
          <w:sz w:val="32"/>
          <w:szCs w:val="32"/>
          <w:lang w:val="en-US" w:eastAsia="zh-CN"/>
        </w:rPr>
        <w:t>.</w:t>
      </w:r>
      <w:r>
        <w:rPr>
          <w:rFonts w:hint="eastAsia" w:ascii="仿宋" w:hAnsi="仿宋" w:eastAsia="仿宋" w:cs="仿宋"/>
          <w:b/>
          <w:bCs/>
          <w:color w:val="auto"/>
          <w:spacing w:val="0"/>
          <w:sz w:val="32"/>
          <w:szCs w:val="32"/>
          <w:lang w:eastAsia="zh-CN"/>
        </w:rPr>
        <w:t>通讯联络：</w:t>
      </w:r>
      <w:r>
        <w:rPr>
          <w:rFonts w:hint="eastAsia" w:ascii="仿宋" w:hAnsi="仿宋" w:eastAsia="仿宋" w:cs="仿宋"/>
          <w:color w:val="auto"/>
          <w:spacing w:val="0"/>
          <w:sz w:val="32"/>
          <w:szCs w:val="32"/>
          <w:lang w:eastAsia="zh-CN"/>
        </w:rPr>
        <w:t>协调通讯部门保证救援现场的通讯畅通，确保救援人员和指挥部保持及时联络。</w:t>
      </w:r>
    </w:p>
    <w:p w14:paraId="1397E95C">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7</w:t>
      </w:r>
      <w:r>
        <w:rPr>
          <w:rFonts w:hint="eastAsia" w:ascii="仿宋" w:hAnsi="仿宋" w:eastAsia="仿宋" w:cs="仿宋"/>
          <w:b/>
          <w:bCs/>
          <w:color w:val="auto"/>
          <w:spacing w:val="0"/>
          <w:sz w:val="32"/>
          <w:szCs w:val="32"/>
          <w:lang w:val="en-US" w:eastAsia="zh-CN"/>
        </w:rPr>
        <w:t>.</w:t>
      </w:r>
      <w:r>
        <w:rPr>
          <w:rFonts w:hint="eastAsia" w:ascii="仿宋" w:hAnsi="仿宋" w:eastAsia="仿宋" w:cs="仿宋"/>
          <w:b/>
          <w:bCs/>
          <w:color w:val="auto"/>
          <w:spacing w:val="0"/>
          <w:sz w:val="32"/>
          <w:szCs w:val="32"/>
          <w:lang w:eastAsia="zh-CN"/>
        </w:rPr>
        <w:t>物资供应：</w:t>
      </w:r>
      <w:r>
        <w:rPr>
          <w:rFonts w:hint="eastAsia" w:ascii="仿宋" w:hAnsi="仿宋" w:eastAsia="仿宋" w:cs="仿宋"/>
          <w:color w:val="auto"/>
          <w:spacing w:val="0"/>
          <w:sz w:val="32"/>
          <w:szCs w:val="32"/>
          <w:lang w:eastAsia="zh-CN"/>
        </w:rPr>
        <w:t>按照应急指挥部的要求，确保救援所需物资、装备、食品等资源供应到位。</w:t>
      </w:r>
    </w:p>
    <w:p w14:paraId="45E039E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8</w:t>
      </w:r>
      <w:r>
        <w:rPr>
          <w:rFonts w:hint="eastAsia" w:ascii="仿宋" w:hAnsi="仿宋" w:eastAsia="仿宋" w:cs="仿宋"/>
          <w:b/>
          <w:bCs/>
          <w:color w:val="auto"/>
          <w:spacing w:val="0"/>
          <w:sz w:val="32"/>
          <w:szCs w:val="32"/>
          <w:lang w:val="en-US" w:eastAsia="zh-CN"/>
        </w:rPr>
        <w:t>.</w:t>
      </w:r>
      <w:r>
        <w:rPr>
          <w:rFonts w:hint="eastAsia" w:ascii="仿宋" w:hAnsi="仿宋" w:eastAsia="仿宋" w:cs="仿宋"/>
          <w:b/>
          <w:bCs/>
          <w:color w:val="auto"/>
          <w:spacing w:val="0"/>
          <w:sz w:val="32"/>
          <w:szCs w:val="32"/>
          <w:lang w:eastAsia="zh-CN"/>
        </w:rPr>
        <w:t>技术支持：</w:t>
      </w:r>
      <w:r>
        <w:rPr>
          <w:rFonts w:hint="eastAsia" w:ascii="仿宋" w:hAnsi="仿宋" w:eastAsia="仿宋" w:cs="仿宋"/>
          <w:color w:val="auto"/>
          <w:spacing w:val="0"/>
          <w:sz w:val="32"/>
          <w:szCs w:val="32"/>
          <w:lang w:eastAsia="zh-CN"/>
        </w:rPr>
        <w:t>专家组现场待命，随时了解救援信息，为救援方案的调整提供技术支持。</w:t>
      </w:r>
    </w:p>
    <w:p w14:paraId="46191CD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93" w:name="_Toc22998"/>
      <w:bookmarkStart w:id="94" w:name="_Toc24761"/>
      <w:bookmarkStart w:id="95" w:name="_Toc26475"/>
      <w:r>
        <w:rPr>
          <w:rFonts w:hint="eastAsia" w:ascii="楷体" w:hAnsi="楷体" w:eastAsia="楷体" w:cs="楷体"/>
          <w:b w:val="0"/>
          <w:bCs w:val="0"/>
          <w:color w:val="auto"/>
          <w:spacing w:val="0"/>
          <w:sz w:val="32"/>
          <w:szCs w:val="32"/>
          <w:lang w:eastAsia="zh-CN"/>
        </w:rPr>
        <w:t>（三）指挥与协调</w:t>
      </w:r>
      <w:bookmarkEnd w:id="93"/>
      <w:bookmarkEnd w:id="94"/>
      <w:bookmarkEnd w:id="95"/>
    </w:p>
    <w:p w14:paraId="4C74557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启动Ⅲ级或Ⅲ级以上响应后，按照事故类型，应急指挥部有关人员立即进入应急岗位，组织相关人员赶赴现场，成立由应急指挥部副总指挥及有关成员单位、专业应急救援队伍、街道办事处和事故单位组成的现场指挥部，负责指挥与协调应急救援工作。有关部门及其专业应急指挥机构按照部门预案规定的程序，组织相关应急救援力量参加应急救援。</w:t>
      </w:r>
    </w:p>
    <w:p w14:paraId="25FFD5F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区安防办根据事故灾难情况开展应急救援协调工作，通知有关部门及其应急机构、救援队伍前往事故现场提供增援或物资保障。有关应急队伍在现场指挥部统一指挥下，共同实施抢险救援和紧急处置。</w:t>
      </w:r>
    </w:p>
    <w:p w14:paraId="62C0BB8C">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现场指挥部负责事故现场应急救援组织、协调、指挥工作。</w:t>
      </w:r>
    </w:p>
    <w:p w14:paraId="16E7E10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现场指挥部成立前，事发单位和先期到达的应急救援队伍迅速有效实施先期处置，事故发生地街道办事处负责协调，全力控制事故灾难发展态势，防止次生衍生和偶合事故（事件）发生，控制或切断事故灾害链。</w:t>
      </w:r>
    </w:p>
    <w:p w14:paraId="58AF692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96" w:name="_Toc21857"/>
      <w:bookmarkStart w:id="97" w:name="_Toc13295"/>
      <w:bookmarkStart w:id="98" w:name="_Toc15148"/>
      <w:r>
        <w:rPr>
          <w:rFonts w:hint="eastAsia" w:ascii="楷体" w:hAnsi="楷体" w:eastAsia="楷体" w:cs="楷体"/>
          <w:b w:val="0"/>
          <w:bCs w:val="0"/>
          <w:color w:val="auto"/>
          <w:spacing w:val="0"/>
          <w:sz w:val="32"/>
          <w:szCs w:val="32"/>
          <w:lang w:eastAsia="zh-CN"/>
        </w:rPr>
        <w:t>（四）应急人员的安全防护</w:t>
      </w:r>
      <w:bookmarkEnd w:id="96"/>
      <w:bookmarkEnd w:id="97"/>
      <w:bookmarkEnd w:id="98"/>
    </w:p>
    <w:p w14:paraId="5C6116A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现场应急救援人员根据需要，携带相应的专业防护装备，做好安全防护，应急救援人员进入和离开事故现场必须做好出入登记。区安防办根据需要具体协调、调集相应的安全防护装备。</w:t>
      </w:r>
    </w:p>
    <w:p w14:paraId="13AF656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99" w:name="_Toc29921"/>
      <w:bookmarkStart w:id="100" w:name="_Toc17984"/>
      <w:bookmarkStart w:id="101" w:name="_Toc1669"/>
      <w:r>
        <w:rPr>
          <w:rFonts w:ascii="楷体" w:hAnsi="楷体" w:eastAsia="楷体" w:cs="楷体"/>
          <w:b w:val="0"/>
          <w:bCs w:val="0"/>
          <w:color w:val="auto"/>
          <w:spacing w:val="0"/>
          <w:sz w:val="32"/>
          <w:szCs w:val="32"/>
          <w:lang w:eastAsia="zh-CN"/>
        </w:rPr>
        <w:t>（五）受事故影响的群众安全防护</w:t>
      </w:r>
      <w:bookmarkEnd w:id="99"/>
      <w:bookmarkEnd w:id="100"/>
      <w:bookmarkEnd w:id="101"/>
    </w:p>
    <w:p w14:paraId="4AD10A1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向阳公安分局、区卫健局等部门做好事故区域环境、卫生检查、检测，负责群众疏散时的防护，具体为：</w:t>
      </w:r>
    </w:p>
    <w:p w14:paraId="507DC62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1.做好疾病预防控制工作。</w:t>
      </w:r>
    </w:p>
    <w:p w14:paraId="0427111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2.监测事故区域的环境状况，现场环境指标可能危及人员健康安全时，及时报告应急指挥部。</w:t>
      </w:r>
    </w:p>
    <w:p w14:paraId="69C8950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3.迅速组织力量划定警戒区域，防止无关人员进入现场，疏散事故现场的群众。</w:t>
      </w:r>
    </w:p>
    <w:p w14:paraId="4F09DAF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4.确定群众疏散撤离的范围、路线、方式和程序，并落实具体部门负责实施。</w:t>
      </w:r>
    </w:p>
    <w:p w14:paraId="482178F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ascii="Times New Roman" w:hAnsi="Times New Roman" w:eastAsia="仿宋_GB2312" w:cs="Times New Roman"/>
          <w:b w:val="0"/>
          <w:bCs w:val="0"/>
          <w:color w:val="auto"/>
          <w:spacing w:val="0"/>
          <w:sz w:val="32"/>
          <w:szCs w:val="32"/>
          <w:lang w:eastAsia="zh-CN"/>
        </w:rPr>
      </w:pPr>
      <w:bookmarkStart w:id="102" w:name="_Toc5540"/>
      <w:bookmarkStart w:id="103" w:name="_Toc14294"/>
      <w:bookmarkStart w:id="104" w:name="_Toc18476"/>
      <w:r>
        <w:rPr>
          <w:rFonts w:hint="eastAsia" w:ascii="楷体" w:hAnsi="楷体" w:eastAsia="楷体" w:cs="楷体"/>
          <w:b w:val="0"/>
          <w:bCs w:val="0"/>
          <w:color w:val="auto"/>
          <w:spacing w:val="0"/>
          <w:sz w:val="32"/>
          <w:szCs w:val="32"/>
          <w:lang w:eastAsia="zh-CN"/>
        </w:rPr>
        <w:t>（六）动员社会力量参与</w:t>
      </w:r>
      <w:bookmarkEnd w:id="102"/>
      <w:bookmarkEnd w:id="103"/>
      <w:bookmarkEnd w:id="104"/>
    </w:p>
    <w:p w14:paraId="472A69A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积极组织、动员、调动社会力量参与应急处置与救援：</w:t>
      </w:r>
    </w:p>
    <w:p w14:paraId="4124284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1.协助维护秩序。</w:t>
      </w:r>
    </w:p>
    <w:p w14:paraId="2329E1E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2.运输伤员送医。</w:t>
      </w:r>
    </w:p>
    <w:p w14:paraId="18CBC73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3.受事故影响的居民安置。</w:t>
      </w:r>
    </w:p>
    <w:p w14:paraId="5CA6453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4.基本生活保障供应。</w:t>
      </w:r>
    </w:p>
    <w:p w14:paraId="71BA770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5.心理疏导等。</w:t>
      </w:r>
    </w:p>
    <w:p w14:paraId="1975CAF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105" w:name="_Toc1435"/>
      <w:bookmarkStart w:id="106" w:name="_Toc30302"/>
      <w:bookmarkStart w:id="107" w:name="_Toc3719"/>
      <w:r>
        <w:rPr>
          <w:rFonts w:hint="eastAsia" w:ascii="楷体" w:hAnsi="楷体" w:eastAsia="楷体" w:cs="楷体"/>
          <w:b w:val="0"/>
          <w:bCs w:val="0"/>
          <w:color w:val="auto"/>
          <w:spacing w:val="0"/>
          <w:sz w:val="32"/>
          <w:szCs w:val="32"/>
          <w:lang w:eastAsia="zh-CN"/>
        </w:rPr>
        <w:t>（七）事故现场检测与评估</w:t>
      </w:r>
      <w:bookmarkEnd w:id="105"/>
      <w:bookmarkEnd w:id="106"/>
      <w:bookmarkEnd w:id="107"/>
    </w:p>
    <w:p w14:paraId="56F779C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现场指挥部要根据事态发展情况，组织危化、建筑、气象、环保等方面的专家分析事故原因，评估事故发展趋势，预测事故后果，进一步完善应急救援措施。</w:t>
      </w:r>
    </w:p>
    <w:p w14:paraId="6F06EB2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108" w:name="_Toc8274"/>
      <w:bookmarkStart w:id="109" w:name="_Toc18315"/>
      <w:bookmarkStart w:id="110" w:name="_Toc14231"/>
      <w:r>
        <w:rPr>
          <w:rFonts w:hint="eastAsia" w:ascii="楷体" w:hAnsi="楷体" w:eastAsia="楷体" w:cs="楷体"/>
          <w:b w:val="0"/>
          <w:bCs w:val="0"/>
          <w:color w:val="auto"/>
          <w:spacing w:val="0"/>
          <w:sz w:val="32"/>
          <w:szCs w:val="32"/>
          <w:lang w:eastAsia="zh-CN"/>
        </w:rPr>
        <w:t>（八）现场处置注意事项</w:t>
      </w:r>
      <w:bookmarkEnd w:id="108"/>
      <w:bookmarkEnd w:id="109"/>
      <w:bookmarkEnd w:id="110"/>
    </w:p>
    <w:p w14:paraId="7777412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仿宋_GB2312" w:cs="Times New Roman"/>
          <w:b/>
          <w:bCs/>
          <w:color w:val="auto"/>
          <w:spacing w:val="0"/>
          <w:sz w:val="32"/>
          <w:szCs w:val="32"/>
          <w:lang w:eastAsia="zh-CN"/>
        </w:rPr>
      </w:pPr>
      <w:r>
        <w:rPr>
          <w:rFonts w:hint="eastAsia" w:ascii="仿宋" w:hAnsi="仿宋" w:eastAsia="仿宋" w:cs="仿宋"/>
          <w:b/>
          <w:bCs/>
          <w:color w:val="auto"/>
          <w:spacing w:val="0"/>
          <w:sz w:val="32"/>
          <w:szCs w:val="32"/>
          <w:lang w:eastAsia="zh-CN"/>
        </w:rPr>
        <w:t>1.火灾事故处置：</w:t>
      </w:r>
    </w:p>
    <w:p w14:paraId="350B723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根据火灾爆炸发生位置、危险化学品性质及火势扩大的可能性，综合考虑火灾发生区域的周围环境及火灾可能对周边的影响，确定警戒范围，及时疏散外围群众，禁止无关人员入内，并提前引导无关车辆绕行。</w:t>
      </w:r>
    </w:p>
    <w:p w14:paraId="1329D4B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（2）根据火势及时通知专业的消防救援队伍、专家、企业应急救援队伍原地待命或立即赶赴现场。</w:t>
      </w:r>
    </w:p>
    <w:p w14:paraId="46D157E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（3）制定灭火方案。现场指挥部组织事发单位、专家和各救援工作组制定灭火方案时，应根据危险化学品的性质确定灭火方法。</w:t>
      </w:r>
    </w:p>
    <w:p w14:paraId="6826FFD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（4）实施灭火。救援人员配备必要的隔热、隔烟、防辐射的个体防护装备。出现意外情况时立即组织救援人员撤离。</w:t>
      </w:r>
    </w:p>
    <w:p w14:paraId="3B3154F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（5）现场监测。根据风向变化调整救援人员位置。</w:t>
      </w:r>
    </w:p>
    <w:p w14:paraId="6E953F4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（6）救援方案调整。应急指挥部根据现场实际情况及时调整方案。</w:t>
      </w:r>
    </w:p>
    <w:p w14:paraId="6EA86AF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仿宋_GB2312" w:cs="Times New Roman"/>
          <w:b/>
          <w:bCs/>
          <w:color w:val="auto"/>
          <w:spacing w:val="0"/>
          <w:sz w:val="32"/>
          <w:szCs w:val="32"/>
          <w:lang w:eastAsia="zh-CN"/>
        </w:rPr>
      </w:pPr>
      <w:r>
        <w:rPr>
          <w:rFonts w:hint="eastAsia" w:ascii="仿宋" w:hAnsi="仿宋" w:eastAsia="仿宋" w:cs="仿宋"/>
          <w:b/>
          <w:bCs/>
          <w:color w:val="auto"/>
          <w:spacing w:val="0"/>
          <w:sz w:val="32"/>
          <w:szCs w:val="32"/>
          <w:lang w:eastAsia="zh-CN"/>
        </w:rPr>
        <w:t>2.爆炸事故处置：</w:t>
      </w:r>
    </w:p>
    <w:p w14:paraId="4E1B809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（1）确定爆炸位置、引发爆炸的物质类别及爆炸类型，初步判断二次爆炸发生的可能性。</w:t>
      </w:r>
    </w:p>
    <w:p w14:paraId="1020B6A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（2）物理爆炸应关注爆炸装置的工作温度、压力及相邻装置的运行情况，防止相邻装置发生二次爆炸。</w:t>
      </w:r>
    </w:p>
    <w:p w14:paraId="520C45C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（3）化学爆炸应确保警戒区内停电、停火，避免现场出现点火源。抢险救援组进入危险区前应将地面喷湿，防止摩擦、撞击产生火花。这时应避免泄漏的易燃液体随水流扩散。</w:t>
      </w:r>
    </w:p>
    <w:p w14:paraId="3BDD37E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（4）及时疏散外围群众，禁止无关人员入内，并提前引导无关车辆绕行。</w:t>
      </w:r>
    </w:p>
    <w:p w14:paraId="30B6B8F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（5）当危险化学品泄漏时，环境保护部门应做好现场泄漏物质浓度检测工作。</w:t>
      </w:r>
    </w:p>
    <w:p w14:paraId="6CE2B4F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（6）救援方案根据现场实际情况及时调整。</w:t>
      </w:r>
    </w:p>
    <w:p w14:paraId="504574B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3.易燃易爆危险化学品泄漏处置：</w:t>
      </w:r>
    </w:p>
    <w:p w14:paraId="139C978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（1）确定泄漏的危险化学品种类、数量及性质（主要是沸点、闪点、爆炸极限等）、泄漏源的位置及泄漏现场点火源情况。</w:t>
      </w:r>
    </w:p>
    <w:p w14:paraId="796E159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（2）确定警戒范围。隔离外围群众、疏散警戒范围内的群众，设立警戒标志，禁止无关人员进入现场，提前引导无关车辆绕行。</w:t>
      </w:r>
    </w:p>
    <w:p w14:paraId="0F3E61B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（3）调集相应的消防救援队伍、专家等救援力量赶赴现场。</w:t>
      </w:r>
    </w:p>
    <w:p w14:paraId="6737CE6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（4）现场指挥部根据泄漏源的周围环境（环境功能区、人口密度等），明确周围区域存在的重大危险源分布情况。</w:t>
      </w:r>
    </w:p>
    <w:p w14:paraId="62F5F0E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（5）环境保护组检测泄漏物质是否进入大气、附近水源、下水道等场所；加强现场大气、土壤、气象信息等监测，明确泄漏危及周围环境的可能性。</w:t>
      </w:r>
    </w:p>
    <w:p w14:paraId="1026A8B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（6）专家组根据事故现场实际或估算的泄漏量确定泄漏时间或预计持续时间，预测泄漏扩散趋势，确定主要的控制措施（如堵漏、工程抢险、人员疏散、医疗救护等）。</w:t>
      </w:r>
    </w:p>
    <w:p w14:paraId="3622C76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（7）出现意外情况，现场指挥部应立即组织救援人员撤离。</w:t>
      </w:r>
    </w:p>
    <w:p w14:paraId="6F477A6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（8）现场指挥部根据现场事态的发展及时调整救援方案，并及时将现场情况报应急指挥部。</w:t>
      </w:r>
    </w:p>
    <w:p w14:paraId="242EA02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Times New Roman" w:hAnsi="Times New Roman" w:eastAsia="仿宋_GB2312" w:cs="Times New Roman"/>
          <w:b/>
          <w:bCs/>
          <w:color w:val="auto"/>
          <w:spacing w:val="0"/>
          <w:sz w:val="32"/>
          <w:szCs w:val="32"/>
          <w:lang w:eastAsia="zh-CN"/>
        </w:rPr>
      </w:pPr>
      <w:r>
        <w:rPr>
          <w:rFonts w:hint="eastAsia" w:ascii="仿宋" w:hAnsi="仿宋" w:eastAsia="仿宋" w:cs="仿宋"/>
          <w:b/>
          <w:bCs/>
          <w:color w:val="auto"/>
          <w:spacing w:val="0"/>
          <w:sz w:val="32"/>
          <w:szCs w:val="32"/>
          <w:lang w:eastAsia="zh-CN"/>
        </w:rPr>
        <w:t>4.有毒物质泄漏事故现场处置：</w:t>
      </w:r>
    </w:p>
    <w:p w14:paraId="2BC3960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立刻进行疏散。现场指挥部应根据泄漏的危险化学品种类及泄漏源的位置，并考虑风速风向、泄漏量、周围环境等确定警戒范围，警戒范围宜大不宜小。安全保卫组尽快疏散警戒范围内的群众，并做好个体防护。</w:t>
      </w:r>
    </w:p>
    <w:p w14:paraId="095F161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（2）需要发布预警信息的事故按照《佳木斯市向阳区突发事件总体应急预案》有关规定执行。</w:t>
      </w:r>
    </w:p>
    <w:p w14:paraId="1FDEFC6C">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（3）调集医疗急救力量、企业应急救援队伍、专家、消防救援队伍等救援力量赶赴现场。</w:t>
      </w:r>
    </w:p>
    <w:p w14:paraId="4886781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（4）向阳生态环境局负责根据实时检测结果确定泄漏物质是否进入大气、附近水源、下水道等场所，明确泄漏危及周围环境的可能性。</w:t>
      </w:r>
    </w:p>
    <w:p w14:paraId="69B95D9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（5）专家组根据企业提供的情况及现场监测的实际或估算的泄漏量，确定泄漏时间或预计持续时间。</w:t>
      </w:r>
    </w:p>
    <w:p w14:paraId="07498C1C">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（6）根据现场事态的发展及时调整救援方案，并及时将现场情况报应急指挥部。</w:t>
      </w:r>
    </w:p>
    <w:p w14:paraId="2B90BE8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111" w:name="_Toc6514"/>
      <w:bookmarkStart w:id="112" w:name="_Toc2186"/>
      <w:bookmarkStart w:id="113" w:name="_Toc20966"/>
      <w:r>
        <w:rPr>
          <w:rFonts w:hint="eastAsia" w:ascii="楷体" w:hAnsi="楷体" w:eastAsia="楷体" w:cs="楷体"/>
          <w:b w:val="0"/>
          <w:bCs w:val="0"/>
          <w:color w:val="auto"/>
          <w:spacing w:val="0"/>
          <w:sz w:val="32"/>
          <w:szCs w:val="32"/>
          <w:lang w:eastAsia="zh-CN"/>
        </w:rPr>
        <w:t>（九）信息发布</w:t>
      </w:r>
      <w:bookmarkEnd w:id="111"/>
      <w:bookmarkEnd w:id="112"/>
      <w:bookmarkEnd w:id="113"/>
    </w:p>
    <w:p w14:paraId="6AE9146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应急指挥部负责对事故发生、救援及调查、原因分析、人员伤亡和经济损失等情况进行整理，报区安全生产和防灾减灾救灾委员会，按照相</w:t>
      </w:r>
      <w:r>
        <w:rPr>
          <w:rFonts w:hint="eastAsia" w:ascii="仿宋" w:hAnsi="仿宋" w:eastAsia="仿宋" w:cs="仿宋"/>
          <w:color w:val="auto"/>
          <w:spacing w:val="0"/>
          <w:sz w:val="32"/>
          <w:szCs w:val="32"/>
          <w:lang w:eastAsia="zh-CN"/>
        </w:rPr>
        <w:t>关程</w:t>
      </w:r>
      <w:r>
        <w:rPr>
          <w:rFonts w:hint="eastAsia" w:ascii="仿宋" w:hAnsi="仿宋" w:eastAsia="仿宋" w:cs="仿宋"/>
          <w:color w:val="auto"/>
          <w:spacing w:val="0"/>
          <w:sz w:val="32"/>
          <w:szCs w:val="32"/>
          <w:highlight w:val="none"/>
          <w:lang w:eastAsia="zh-CN"/>
        </w:rPr>
        <w:t>序由区委、区政府</w:t>
      </w:r>
      <w:r>
        <w:rPr>
          <w:rFonts w:hint="eastAsia" w:ascii="仿宋" w:hAnsi="仿宋" w:eastAsia="仿宋" w:cs="仿宋"/>
          <w:color w:val="auto"/>
          <w:spacing w:val="0"/>
          <w:sz w:val="32"/>
          <w:szCs w:val="32"/>
          <w:highlight w:val="none"/>
          <w:lang w:val="en-US" w:eastAsia="zh-CN"/>
        </w:rPr>
        <w:t>研究决定</w:t>
      </w:r>
      <w:r>
        <w:rPr>
          <w:rFonts w:hint="eastAsia" w:ascii="仿宋" w:hAnsi="仿宋" w:eastAsia="仿宋" w:cs="仿宋"/>
          <w:color w:val="auto"/>
          <w:spacing w:val="0"/>
          <w:sz w:val="32"/>
          <w:szCs w:val="32"/>
          <w:lang w:eastAsia="zh-CN"/>
        </w:rPr>
        <w:t>第一时间向社会发布。发布的信息力求准确、客观、全面，并根据事故处置进展，做好后续发布工作。</w:t>
      </w:r>
    </w:p>
    <w:p w14:paraId="0AC0C6CE">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14" w:name="_Toc6521"/>
      <w:bookmarkStart w:id="115" w:name="_Toc10364"/>
      <w:bookmarkStart w:id="116" w:name="_Toc29007"/>
      <w:r>
        <w:rPr>
          <w:rFonts w:hint="eastAsia" w:ascii="楷体" w:hAnsi="楷体" w:eastAsia="楷体" w:cs="楷体"/>
          <w:b w:val="0"/>
          <w:bCs w:val="0"/>
          <w:color w:val="auto"/>
          <w:spacing w:val="0"/>
          <w:sz w:val="32"/>
          <w:szCs w:val="32"/>
          <w:lang w:eastAsia="zh-CN"/>
        </w:rPr>
        <w:t>（十）响应终止</w:t>
      </w:r>
      <w:bookmarkEnd w:id="114"/>
      <w:bookmarkEnd w:id="115"/>
      <w:bookmarkEnd w:id="116"/>
    </w:p>
    <w:p w14:paraId="20978B6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根据掌握的危险化学品生产安全事故信息，确认事故现场得以控制，次生、衍生事故隐患得到消除后，现场指挥部向区应急指挥部提出应急响应状态终止建议，由应急指挥部确定响应终止。</w:t>
      </w:r>
    </w:p>
    <w:p w14:paraId="70CBBB9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响应结束后，应通知相关单位和公众。</w:t>
      </w:r>
    </w:p>
    <w:p w14:paraId="52E8938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应急期结束后，各有关单位必须及时补充物资和器材，重新回到应急准备状态。</w:t>
      </w:r>
    </w:p>
    <w:p w14:paraId="3F6F9B3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117" w:name="_Toc11776"/>
      <w:bookmarkStart w:id="118" w:name="_Toc31643"/>
      <w:bookmarkStart w:id="119" w:name="_Toc29137"/>
      <w:r>
        <w:rPr>
          <w:rFonts w:hint="eastAsia" w:ascii="黑体" w:hAnsi="黑体" w:eastAsia="黑体" w:cs="黑体"/>
          <w:color w:val="auto"/>
          <w:spacing w:val="0"/>
          <w:sz w:val="32"/>
          <w:szCs w:val="32"/>
          <w:lang w:eastAsia="zh-CN"/>
        </w:rPr>
        <w:t>九、应急处置措施</w:t>
      </w:r>
      <w:bookmarkEnd w:id="117"/>
      <w:bookmarkEnd w:id="118"/>
      <w:bookmarkEnd w:id="119"/>
    </w:p>
    <w:p w14:paraId="37A3A27E">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20" w:name="bookmark65"/>
      <w:bookmarkEnd w:id="120"/>
      <w:bookmarkStart w:id="121" w:name="_Toc21560"/>
      <w:bookmarkStart w:id="122" w:name="_Toc20366"/>
      <w:bookmarkStart w:id="123" w:name="_Toc30544"/>
      <w:r>
        <w:rPr>
          <w:rFonts w:hint="eastAsia" w:ascii="楷体" w:hAnsi="楷体" w:eastAsia="楷体" w:cs="楷体"/>
          <w:b w:val="0"/>
          <w:bCs w:val="0"/>
          <w:color w:val="auto"/>
          <w:spacing w:val="0"/>
          <w:sz w:val="32"/>
          <w:szCs w:val="32"/>
          <w:lang w:eastAsia="zh-CN"/>
        </w:rPr>
        <w:t>（一）善后处置</w:t>
      </w:r>
      <w:bookmarkEnd w:id="121"/>
      <w:bookmarkEnd w:id="122"/>
      <w:bookmarkEnd w:id="123"/>
    </w:p>
    <w:p w14:paraId="1B9D971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1.区应急指挥部根据需要参加、组织、指导危险化学品生产安全事故应急救援的善后处置工作。</w:t>
      </w:r>
    </w:p>
    <w:p w14:paraId="07BAF72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2.因事故救援临时征用的房屋、运输工具、通信设备等物资，应当及时返还，造成损坏或无法返还的，按照有关规定给予补偿或做出其他处理。</w:t>
      </w:r>
    </w:p>
    <w:p w14:paraId="2AA733F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3.相关部门和事故发生单位要妥善处理事故伤亡人员及其家属的安置、救济、补偿和保险理赔。</w:t>
      </w:r>
    </w:p>
    <w:p w14:paraId="6B8113B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参加救援的部门、单位应认真核对参加应急救援的人数，清点救援装备、器材，核算救援发生的费用，整理保存救援记录、图纸等资料，各自写出救援报告，上报区应急局；当发生Ⅲ级及以上事故时，还应向市应急局报告。</w:t>
      </w:r>
    </w:p>
    <w:p w14:paraId="51DE724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5.事故单位做好污染物的收集、清理与处理等工作。</w:t>
      </w:r>
    </w:p>
    <w:p w14:paraId="5DD1FD8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6.区政府各职能部门和街道办事处组织相关单位、群众尽快恢复生产、生活正常秩序，消除事故后果和影响，安抚受灾和受影响人员，确保社会稳定。</w:t>
      </w:r>
    </w:p>
    <w:p w14:paraId="5BF91789">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24" w:name="_Toc30674"/>
      <w:bookmarkStart w:id="125" w:name="_Toc10621"/>
      <w:bookmarkStart w:id="126" w:name="_Toc4403"/>
      <w:r>
        <w:rPr>
          <w:rFonts w:hint="eastAsia" w:ascii="楷体" w:hAnsi="楷体" w:eastAsia="楷体" w:cs="楷体"/>
          <w:b w:val="0"/>
          <w:bCs w:val="0"/>
          <w:color w:val="auto"/>
          <w:spacing w:val="0"/>
          <w:sz w:val="32"/>
          <w:szCs w:val="32"/>
          <w:lang w:eastAsia="zh-CN"/>
        </w:rPr>
        <w:t>（二）事故调查</w:t>
      </w:r>
      <w:bookmarkEnd w:id="124"/>
      <w:bookmarkEnd w:id="125"/>
      <w:bookmarkEnd w:id="126"/>
    </w:p>
    <w:p w14:paraId="7E08D2A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事发后，调查评估组要及时调查取证、分析事故原因、认定事故责任，形成事故调查报告，对事故责任单位和相关责任人提出处理建议意见。</w:t>
      </w:r>
    </w:p>
    <w:p w14:paraId="3385985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1.调查机构：</w:t>
      </w:r>
      <w:r>
        <w:rPr>
          <w:rFonts w:hint="eastAsia" w:ascii="仿宋" w:hAnsi="仿宋" w:eastAsia="仿宋" w:cs="仿宋"/>
          <w:color w:val="auto"/>
          <w:spacing w:val="0"/>
          <w:sz w:val="32"/>
          <w:szCs w:val="32"/>
          <w:lang w:eastAsia="zh-CN"/>
        </w:rPr>
        <w:t>发生一般危险化学品生产安全事故，调查评估组或授权相关部门开展事故调查工作。发生特别重大、重大、较大危险化学品生产安全事故，有关部门（单位）应配合上级调查组开展事故调查。</w:t>
      </w:r>
    </w:p>
    <w:p w14:paraId="27316B37">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2.事故调查：</w:t>
      </w:r>
      <w:r>
        <w:rPr>
          <w:rFonts w:hint="eastAsia" w:ascii="仿宋" w:hAnsi="仿宋" w:eastAsia="仿宋" w:cs="仿宋"/>
          <w:color w:val="auto"/>
          <w:spacing w:val="0"/>
          <w:sz w:val="32"/>
          <w:szCs w:val="32"/>
          <w:lang w:eastAsia="zh-CN"/>
        </w:rPr>
        <w:t>查明事故发生的经过、原因、人员伤亡情况及直接经济损失；认定事故的性质和事故责任；提出对事故责任者的处理建议；总结事故教训，提出防范和整改措施；提交事故调查报告。</w:t>
      </w:r>
    </w:p>
    <w:p w14:paraId="2DEAE643">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27" w:name="_Toc3053"/>
      <w:r>
        <w:rPr>
          <w:rFonts w:hint="eastAsia" w:ascii="楷体" w:hAnsi="楷体" w:eastAsia="楷体" w:cs="楷体"/>
          <w:b w:val="0"/>
          <w:bCs w:val="0"/>
          <w:color w:val="auto"/>
          <w:spacing w:val="0"/>
          <w:sz w:val="32"/>
          <w:szCs w:val="32"/>
          <w:lang w:eastAsia="zh-CN"/>
        </w:rPr>
        <w:t>（三）总结与评估</w:t>
      </w:r>
      <w:bookmarkEnd w:id="127"/>
    </w:p>
    <w:p w14:paraId="2790648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1.危险化学品生产安全事故善后处置结束后，应急指挥部办公室及有关部门要及时完成应急救援总结报告并上报。</w:t>
      </w:r>
    </w:p>
    <w:p w14:paraId="696DF7E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调查评估组应当单独设立应急处置评估组，专职负责收集、整理应急救援工作的记录、方案、文件等资料，对应急救援预案的启动、决策、指挥和后勤保障等全过程进行评估，分析总结应急救援经验教训，提出改进的意见和建议，并在应急响应结束后一个月内，将总结评估报告上报给区政府。</w:t>
      </w:r>
    </w:p>
    <w:p w14:paraId="3ACCE0E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w:t>
      </w:r>
      <w:r>
        <w:rPr>
          <w:rFonts w:hint="eastAsia" w:ascii="仿宋" w:hAnsi="仿宋" w:eastAsia="仿宋" w:cs="仿宋"/>
          <w:color w:val="auto"/>
          <w:spacing w:val="0"/>
          <w:sz w:val="32"/>
          <w:szCs w:val="32"/>
          <w:lang w:val="en-US" w:eastAsia="zh-CN"/>
        </w:rPr>
        <w:t>.</w:t>
      </w:r>
      <w:r>
        <w:rPr>
          <w:rFonts w:hint="eastAsia" w:ascii="仿宋" w:hAnsi="仿宋" w:eastAsia="仿宋" w:cs="仿宋"/>
          <w:color w:val="auto"/>
          <w:spacing w:val="0"/>
          <w:sz w:val="32"/>
          <w:szCs w:val="32"/>
          <w:lang w:eastAsia="zh-CN"/>
        </w:rPr>
        <w:t>国家、省、市应急指挥机构参与指挥、救援的较大、重大、特别重大事故，分别由市政府、省政府、国务院组织事故调查，区政府、事故单位所在街道办事处或村屯、事故单位负责协助调查，积极提供真实的资料，对上级调查组提出的整改意见，认真吸取事故教训。</w:t>
      </w:r>
    </w:p>
    <w:p w14:paraId="60DC6198">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28" w:name="_Toc4376"/>
      <w:bookmarkStart w:id="129" w:name="_Toc3976"/>
      <w:bookmarkStart w:id="130" w:name="_Toc30424"/>
      <w:r>
        <w:rPr>
          <w:rFonts w:hint="eastAsia" w:ascii="楷体" w:hAnsi="楷体" w:eastAsia="楷体" w:cs="楷体"/>
          <w:b w:val="0"/>
          <w:bCs w:val="0"/>
          <w:color w:val="auto"/>
          <w:spacing w:val="0"/>
          <w:sz w:val="32"/>
          <w:szCs w:val="32"/>
          <w:lang w:eastAsia="zh-CN"/>
        </w:rPr>
        <w:t>（四）恢复与重建</w:t>
      </w:r>
      <w:bookmarkEnd w:id="128"/>
      <w:bookmarkEnd w:id="129"/>
      <w:bookmarkEnd w:id="130"/>
    </w:p>
    <w:p w14:paraId="0198EB1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事故处置工作结束后，受到影响的街道办事处或村屯、事故单位应结合调查评估情况，立即组织制订恢复与重建计划，及时恢复社会秩序，修复被破坏的市政、生产经营等基础设施。</w:t>
      </w:r>
    </w:p>
    <w:p w14:paraId="627FE09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131" w:name="_Toc5779"/>
      <w:bookmarkStart w:id="132" w:name="_Toc21462"/>
      <w:bookmarkStart w:id="133" w:name="_Toc26663"/>
      <w:r>
        <w:rPr>
          <w:rFonts w:hint="eastAsia" w:ascii="黑体" w:hAnsi="黑体" w:eastAsia="黑体" w:cs="黑体"/>
          <w:color w:val="auto"/>
          <w:spacing w:val="0"/>
          <w:sz w:val="32"/>
          <w:szCs w:val="32"/>
          <w:lang w:eastAsia="zh-CN"/>
        </w:rPr>
        <w:t>十、队伍物资保障</w:t>
      </w:r>
      <w:bookmarkEnd w:id="131"/>
      <w:bookmarkEnd w:id="132"/>
      <w:bookmarkEnd w:id="133"/>
    </w:p>
    <w:p w14:paraId="5ED8F2A0">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34" w:name="bookmark66"/>
      <w:bookmarkEnd w:id="134"/>
      <w:bookmarkStart w:id="135" w:name="_Toc18723"/>
      <w:bookmarkStart w:id="136" w:name="_Toc4190"/>
      <w:bookmarkStart w:id="137" w:name="_Toc797"/>
      <w:r>
        <w:rPr>
          <w:rFonts w:hint="eastAsia" w:ascii="楷体" w:hAnsi="楷体" w:eastAsia="楷体" w:cs="楷体"/>
          <w:b w:val="0"/>
          <w:bCs w:val="0"/>
          <w:color w:val="auto"/>
          <w:spacing w:val="0"/>
          <w:sz w:val="32"/>
          <w:szCs w:val="32"/>
          <w:lang w:eastAsia="zh-CN"/>
        </w:rPr>
        <w:t>（一）信息保障</w:t>
      </w:r>
      <w:bookmarkEnd w:id="135"/>
      <w:bookmarkEnd w:id="136"/>
      <w:bookmarkEnd w:id="137"/>
    </w:p>
    <w:p w14:paraId="43E0D8A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应急局掌握全区危险化学品企业和救援力量信息数据资料。紧急情况发生后，通讯公司可以充分利用有线、无线电话、卫星等手段，保障救援有关单位与人员的通讯畅通。必要时，将通讯传输设备设在事故救援现场。</w:t>
      </w:r>
    </w:p>
    <w:p w14:paraId="23E3D05D">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38" w:name="_Toc26809"/>
      <w:r>
        <w:rPr>
          <w:rFonts w:hint="eastAsia" w:ascii="楷体" w:hAnsi="楷体" w:eastAsia="楷体" w:cs="楷体"/>
          <w:b w:val="0"/>
          <w:bCs w:val="0"/>
          <w:color w:val="auto"/>
          <w:spacing w:val="0"/>
          <w:sz w:val="32"/>
          <w:szCs w:val="32"/>
          <w:lang w:eastAsia="zh-CN"/>
        </w:rPr>
        <w:t>（二）应急队伍保障</w:t>
      </w:r>
      <w:bookmarkEnd w:id="138"/>
    </w:p>
    <w:p w14:paraId="75BD4FE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危险化学品企业针对本单位可能发生的生产安全事故，依法制定应急预案、组建专、兼职的抢险救援队伍，并有针对性的开展应急培训和应急救援演练。掌握本企业事故风险和应急处置方法。</w:t>
      </w:r>
    </w:p>
    <w:p w14:paraId="7AAE719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ascii="Times New Roman" w:hAnsi="Times New Roman" w:eastAsia="仿宋_GB2312" w:cs="Times New Roman"/>
          <w:color w:val="auto"/>
          <w:spacing w:val="0"/>
          <w:sz w:val="32"/>
          <w:szCs w:val="32"/>
          <w:lang w:eastAsia="zh-CN"/>
        </w:rPr>
      </w:pPr>
      <w:r>
        <w:rPr>
          <w:rFonts w:hint="eastAsia" w:ascii="仿宋" w:hAnsi="仿宋" w:eastAsia="仿宋" w:cs="仿宋"/>
          <w:color w:val="auto"/>
          <w:spacing w:val="0"/>
          <w:sz w:val="32"/>
          <w:szCs w:val="32"/>
          <w:lang w:eastAsia="zh-CN"/>
        </w:rPr>
        <w:t>区政府负有公共应急救援职责的部门要加强应急救援队伍的业务培训和应急演练，建立应急联动机制，提高装备水平。</w:t>
      </w:r>
    </w:p>
    <w:p w14:paraId="114945B7">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39" w:name="_Toc23654"/>
      <w:bookmarkStart w:id="140" w:name="_Toc29851"/>
      <w:bookmarkStart w:id="141" w:name="_Toc25906"/>
      <w:r>
        <w:rPr>
          <w:rFonts w:hint="eastAsia" w:ascii="楷体" w:hAnsi="楷体" w:eastAsia="楷体" w:cs="楷体"/>
          <w:b w:val="0"/>
          <w:bCs w:val="0"/>
          <w:color w:val="auto"/>
          <w:spacing w:val="0"/>
          <w:sz w:val="32"/>
          <w:szCs w:val="32"/>
          <w:lang w:eastAsia="zh-CN"/>
        </w:rPr>
        <w:t>（三）救援装备和物资保障</w:t>
      </w:r>
      <w:bookmarkEnd w:id="139"/>
      <w:bookmarkEnd w:id="140"/>
      <w:bookmarkEnd w:id="141"/>
    </w:p>
    <w:p w14:paraId="4304417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应急指挥机构掌握本专业的特种救援装备情况。</w:t>
      </w:r>
    </w:p>
    <w:p w14:paraId="154F5C3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全区所属区域内各专业应急救援队伍和有关单位要根据实际情况和需要，配备必要的应急救援装备。</w:t>
      </w:r>
    </w:p>
    <w:p w14:paraId="2091DE2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区政府有关部门、有关企业按照职责分工和预案要求，建立突发生产安全事故应急物资储备制度，储备必要的应急物资，并定期检查，保持完好。</w:t>
      </w:r>
    </w:p>
    <w:p w14:paraId="170584FF">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42" w:name="_Toc6689"/>
      <w:bookmarkStart w:id="143" w:name="_Toc24913"/>
      <w:bookmarkStart w:id="144" w:name="_Toc11244"/>
      <w:r>
        <w:rPr>
          <w:rFonts w:hint="eastAsia" w:ascii="楷体" w:hAnsi="楷体" w:eastAsia="楷体" w:cs="楷体"/>
          <w:b w:val="0"/>
          <w:bCs w:val="0"/>
          <w:color w:val="auto"/>
          <w:spacing w:val="0"/>
          <w:sz w:val="32"/>
          <w:szCs w:val="32"/>
          <w:lang w:eastAsia="zh-CN"/>
        </w:rPr>
        <w:t>（四）交通运输保障</w:t>
      </w:r>
      <w:bookmarkEnd w:id="142"/>
      <w:bookmarkEnd w:id="143"/>
      <w:bookmarkEnd w:id="144"/>
    </w:p>
    <w:p w14:paraId="49CBEEE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交通运输主管部门做好交通运输保障工作，必要时，开启特别应急通道，确保抢险救灾物资和人员能够及时、安全送达。特殊情况下，由向阳交警大队对现场及相关通道实行交通管制，开设应急救援“绿色通道”，保证应急救援工作顺利开展。</w:t>
      </w:r>
    </w:p>
    <w:p w14:paraId="2F98B33D">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45" w:name="_Toc28719"/>
      <w:bookmarkStart w:id="146" w:name="_Toc6848"/>
      <w:bookmarkStart w:id="147" w:name="_Toc14385"/>
      <w:r>
        <w:rPr>
          <w:rFonts w:hint="eastAsia" w:ascii="楷体" w:hAnsi="楷体" w:eastAsia="楷体" w:cs="楷体"/>
          <w:b w:val="0"/>
          <w:bCs w:val="0"/>
          <w:color w:val="auto"/>
          <w:spacing w:val="0"/>
          <w:sz w:val="32"/>
          <w:szCs w:val="32"/>
          <w:lang w:eastAsia="zh-CN"/>
        </w:rPr>
        <w:t>（五）医疗卫生保障</w:t>
      </w:r>
      <w:bookmarkEnd w:id="145"/>
      <w:bookmarkEnd w:id="146"/>
      <w:bookmarkEnd w:id="147"/>
    </w:p>
    <w:p w14:paraId="1021022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卫健局负责组织医疗卫生救援行动，提高应对突发公共事件医疗卫生救援水平，并拟定医疗救护保障计划。根据需要及时赶赴现场开展医疗救治、疾病预防控制等医疗卫生应急工作，最大程度减少人员伤亡和健康危害。</w:t>
      </w:r>
    </w:p>
    <w:p w14:paraId="5D5C6796">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48" w:name="_Toc29289"/>
      <w:bookmarkStart w:id="149" w:name="_Toc24264"/>
      <w:bookmarkStart w:id="150" w:name="_Toc10093"/>
      <w:r>
        <w:rPr>
          <w:rFonts w:hint="eastAsia" w:ascii="楷体" w:hAnsi="楷体" w:eastAsia="楷体" w:cs="楷体"/>
          <w:b w:val="0"/>
          <w:bCs w:val="0"/>
          <w:color w:val="auto"/>
          <w:spacing w:val="0"/>
          <w:sz w:val="32"/>
          <w:szCs w:val="32"/>
          <w:lang w:eastAsia="zh-CN"/>
        </w:rPr>
        <w:t>（六）治安保障</w:t>
      </w:r>
      <w:bookmarkEnd w:id="148"/>
      <w:bookmarkEnd w:id="149"/>
      <w:bookmarkEnd w:id="150"/>
    </w:p>
    <w:p w14:paraId="3CFEC20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向阳公安分局负责组织警力，对事故灾难现场进行治安警戒和管理，加强对重点地区、重点场所、重要物资设备的防范保护，维持现场秩序，依法严厉打击违法犯罪活动，为救援工作创造良好环境。</w:t>
      </w:r>
    </w:p>
    <w:p w14:paraId="14666CE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危化品生产事故发生地的街道办事处和社区组织应当积极发动和组织群众，开展群防联防，协助公安部门实施治安保卫工作。</w:t>
      </w:r>
    </w:p>
    <w:p w14:paraId="386C6BAD">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51" w:name="_Toc8866"/>
      <w:bookmarkStart w:id="152" w:name="_Toc2090"/>
      <w:bookmarkStart w:id="153" w:name="_Toc20319"/>
      <w:r>
        <w:rPr>
          <w:rFonts w:hint="eastAsia" w:ascii="楷体" w:hAnsi="楷体" w:eastAsia="楷体" w:cs="楷体"/>
          <w:b w:val="0"/>
          <w:bCs w:val="0"/>
          <w:color w:val="auto"/>
          <w:spacing w:val="0"/>
          <w:sz w:val="32"/>
          <w:szCs w:val="32"/>
          <w:lang w:eastAsia="zh-CN"/>
        </w:rPr>
        <w:t>（七）资金保障</w:t>
      </w:r>
      <w:bookmarkEnd w:id="151"/>
      <w:bookmarkEnd w:id="152"/>
      <w:bookmarkEnd w:id="153"/>
    </w:p>
    <w:p w14:paraId="326BA79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全区所属区域内危险化学品企业、负有生产安全事故应急响应职责的部门按照有关预案和规定程序保证生产安全事故应急处置所需的经费。</w:t>
      </w:r>
    </w:p>
    <w:p w14:paraId="6707FF6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必要时，区财政局及时启用财政预备费，保障生产安全事故应急救援所需经费。</w:t>
      </w:r>
    </w:p>
    <w:p w14:paraId="38DCEB54">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54" w:name="_Toc16999"/>
      <w:bookmarkStart w:id="155" w:name="_Toc8524"/>
      <w:bookmarkStart w:id="156" w:name="_Toc14026"/>
      <w:r>
        <w:rPr>
          <w:rFonts w:hint="eastAsia" w:ascii="楷体" w:hAnsi="楷体" w:eastAsia="楷体" w:cs="楷体"/>
          <w:b w:val="0"/>
          <w:bCs w:val="0"/>
          <w:color w:val="auto"/>
          <w:spacing w:val="0"/>
          <w:sz w:val="32"/>
          <w:szCs w:val="32"/>
          <w:lang w:eastAsia="zh-CN"/>
        </w:rPr>
        <w:t>（八）社会动员保障</w:t>
      </w:r>
      <w:bookmarkEnd w:id="154"/>
      <w:bookmarkEnd w:id="155"/>
      <w:bookmarkEnd w:id="156"/>
    </w:p>
    <w:p w14:paraId="0E3CCD1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事故单位所在街道办事处或村屯根据需要，动员社会力量参与应急救援，并负责协调保障；区安防办调用事故单位所在街道办事处或村屯以外的社会力量参与增援，有关部门、单位提供必要保障。</w:t>
      </w:r>
    </w:p>
    <w:p w14:paraId="4D956B9C">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57" w:name="_Toc19382"/>
      <w:bookmarkStart w:id="158" w:name="_Toc29478"/>
      <w:bookmarkStart w:id="159" w:name="_Toc10893"/>
      <w:r>
        <w:rPr>
          <w:rFonts w:hint="eastAsia" w:ascii="楷体" w:hAnsi="楷体" w:eastAsia="楷体" w:cs="楷体"/>
          <w:b w:val="0"/>
          <w:bCs w:val="0"/>
          <w:color w:val="auto"/>
          <w:spacing w:val="0"/>
          <w:sz w:val="32"/>
          <w:szCs w:val="32"/>
          <w:lang w:eastAsia="zh-CN"/>
        </w:rPr>
        <w:t>（九）应急避难场所保障</w:t>
      </w:r>
      <w:bookmarkEnd w:id="157"/>
      <w:bookmarkEnd w:id="158"/>
      <w:bookmarkEnd w:id="159"/>
    </w:p>
    <w:p w14:paraId="784E219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区政府根据实际情况，指定或者建立与本地人口密度、规模相适应的紧急避难场所。紧急状态下，区政府及街道办事处可以设置临时避难场所。</w:t>
      </w:r>
    </w:p>
    <w:p w14:paraId="686BFA4B">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60" w:name="_Toc16236"/>
      <w:bookmarkStart w:id="161" w:name="_Toc6462"/>
      <w:bookmarkStart w:id="162" w:name="_Toc30689"/>
      <w:r>
        <w:rPr>
          <w:rFonts w:hint="eastAsia" w:ascii="楷体" w:hAnsi="楷体" w:eastAsia="楷体" w:cs="楷体"/>
          <w:b w:val="0"/>
          <w:bCs w:val="0"/>
          <w:color w:val="auto"/>
          <w:spacing w:val="0"/>
          <w:sz w:val="32"/>
          <w:szCs w:val="32"/>
          <w:lang w:eastAsia="zh-CN"/>
        </w:rPr>
        <w:t>（十</w:t>
      </w:r>
      <w:r>
        <w:rPr>
          <w:rFonts w:hint="eastAsia" w:ascii="楷体" w:hAnsi="楷体" w:eastAsia="楷体" w:cs="楷体"/>
          <w:b w:val="0"/>
          <w:bCs w:val="0"/>
          <w:color w:val="auto"/>
          <w:spacing w:val="0"/>
          <w:sz w:val="32"/>
          <w:szCs w:val="32"/>
          <w:lang w:eastAsia="zh-CN"/>
        </w:rPr>
        <w:t>）公共基础设施保障</w:t>
      </w:r>
      <w:bookmarkEnd w:id="160"/>
      <w:bookmarkEnd w:id="161"/>
      <w:bookmarkEnd w:id="162"/>
    </w:p>
    <w:p w14:paraId="116DF81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区住建局按照职责做好事故区域煤、电、油、气、水等基础物资供给，以及其他公共设施的恢复。</w:t>
      </w:r>
    </w:p>
    <w:p w14:paraId="42D2A8C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163" w:name="_Toc28109"/>
      <w:bookmarkStart w:id="164" w:name="_Toc32687"/>
      <w:bookmarkStart w:id="165" w:name="_Toc18248"/>
      <w:r>
        <w:rPr>
          <w:rFonts w:hint="eastAsia" w:ascii="黑体" w:hAnsi="黑体" w:eastAsia="黑体" w:cs="黑体"/>
          <w:color w:val="auto"/>
          <w:spacing w:val="0"/>
          <w:sz w:val="32"/>
          <w:szCs w:val="32"/>
          <w:lang w:eastAsia="zh-CN"/>
        </w:rPr>
        <w:t>十一、监督管理</w:t>
      </w:r>
      <w:bookmarkEnd w:id="163"/>
      <w:bookmarkEnd w:id="164"/>
      <w:bookmarkEnd w:id="165"/>
    </w:p>
    <w:p w14:paraId="26A28748">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66" w:name="bookmark67"/>
      <w:bookmarkEnd w:id="166"/>
      <w:bookmarkStart w:id="167" w:name="_Toc6911"/>
      <w:bookmarkStart w:id="168" w:name="_Toc23774"/>
      <w:bookmarkStart w:id="169" w:name="_Toc17259"/>
      <w:r>
        <w:rPr>
          <w:rFonts w:hint="eastAsia" w:ascii="楷体" w:hAnsi="楷体" w:eastAsia="楷体" w:cs="楷体"/>
          <w:b w:val="0"/>
          <w:bCs w:val="0"/>
          <w:color w:val="auto"/>
          <w:spacing w:val="0"/>
          <w:sz w:val="32"/>
          <w:szCs w:val="32"/>
          <w:lang w:eastAsia="zh-CN"/>
        </w:rPr>
        <w:t>（一）宣传教育</w:t>
      </w:r>
      <w:bookmarkEnd w:id="167"/>
      <w:bookmarkEnd w:id="168"/>
      <w:bookmarkEnd w:id="169"/>
    </w:p>
    <w:p w14:paraId="442CA19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1.区委宣传部、区应急局负责组织安全生产应急法律法规和预防、避险、避灾、自救、互救常识的宣传工作。</w:t>
      </w:r>
    </w:p>
    <w:p w14:paraId="7F3FB57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2.街道办事处或村屯负责本地的安全生产应急救援宣传、教育工</w:t>
      </w:r>
      <w:r>
        <w:rPr>
          <w:rFonts w:hint="eastAsia" w:ascii="仿宋" w:hAnsi="仿宋" w:eastAsia="仿宋" w:cs="仿宋"/>
          <w:color w:val="auto"/>
          <w:spacing w:val="0"/>
          <w:sz w:val="32"/>
          <w:szCs w:val="32"/>
          <w:lang w:eastAsia="zh-CN"/>
        </w:rPr>
        <w:t>作，提高全民安全防范意识。</w:t>
      </w:r>
    </w:p>
    <w:p w14:paraId="4A212BA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3.危险化学品企业与所在地</w:t>
      </w:r>
      <w:r>
        <w:rPr>
          <w:rFonts w:hint="eastAsia" w:ascii="仿宋" w:hAnsi="仿宋" w:eastAsia="仿宋" w:cs="仿宋"/>
          <w:strike w:val="0"/>
          <w:dstrike w:val="0"/>
          <w:color w:val="auto"/>
          <w:spacing w:val="0"/>
          <w:sz w:val="32"/>
          <w:szCs w:val="32"/>
          <w:highlight w:val="none"/>
          <w:lang w:val="en-US" w:eastAsia="zh-CN"/>
        </w:rPr>
        <w:t>街道办事处</w:t>
      </w:r>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lang w:eastAsia="zh-CN"/>
        </w:rPr>
        <w:t>社区建立互动机制，向周边群众宣传相关应急知识。</w:t>
      </w:r>
    </w:p>
    <w:p w14:paraId="7594CA6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4.区应急局要通过媒体将事故灾难应急报警电话、自救互救、防灾救灾常识告知公众。</w:t>
      </w:r>
    </w:p>
    <w:p w14:paraId="6826EE92">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70" w:name="_Toc9854"/>
      <w:bookmarkStart w:id="171" w:name="_Toc7549"/>
      <w:bookmarkStart w:id="172" w:name="_Toc2568"/>
      <w:r>
        <w:rPr>
          <w:rFonts w:hint="eastAsia" w:ascii="楷体" w:hAnsi="楷体" w:eastAsia="楷体" w:cs="楷体"/>
          <w:b w:val="0"/>
          <w:bCs w:val="0"/>
          <w:color w:val="auto"/>
          <w:spacing w:val="0"/>
          <w:sz w:val="32"/>
          <w:szCs w:val="32"/>
          <w:lang w:eastAsia="zh-CN"/>
        </w:rPr>
        <w:t>（二）培训</w:t>
      </w:r>
      <w:bookmarkEnd w:id="170"/>
      <w:bookmarkEnd w:id="171"/>
      <w:bookmarkEnd w:id="172"/>
    </w:p>
    <w:p w14:paraId="389B46C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1.按照“分级管理 ”的原则，政府有关部门组织各专业应急机构及救援队伍人员进行上岗前培训和在岗定期复训，应急指挥部办公室负责指导。</w:t>
      </w:r>
    </w:p>
    <w:p w14:paraId="37F653A6">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2.有关部门和单位结合自身实际，搞好兼职应急救援队伍的培训，组织社会志愿者的培训，提高公众自救、互救能力。</w:t>
      </w:r>
    </w:p>
    <w:p w14:paraId="7FF3D29B">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73" w:name="_Toc30756"/>
      <w:bookmarkStart w:id="174" w:name="_Toc11923"/>
      <w:bookmarkStart w:id="175" w:name="_Toc31962"/>
      <w:r>
        <w:rPr>
          <w:rFonts w:hint="eastAsia" w:ascii="楷体" w:hAnsi="楷体" w:eastAsia="楷体" w:cs="楷体"/>
          <w:b w:val="0"/>
          <w:bCs w:val="0"/>
          <w:color w:val="auto"/>
          <w:spacing w:val="0"/>
          <w:sz w:val="32"/>
          <w:szCs w:val="32"/>
          <w:lang w:eastAsia="zh-CN"/>
        </w:rPr>
        <w:t>（三）演练</w:t>
      </w:r>
      <w:bookmarkEnd w:id="173"/>
      <w:bookmarkEnd w:id="174"/>
      <w:bookmarkEnd w:id="175"/>
    </w:p>
    <w:p w14:paraId="47E3733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1.区政府、街道办事处、村屯至少每两年组织一次危险化学品生产安全事故应急救援预案演练。</w:t>
      </w:r>
    </w:p>
    <w:p w14:paraId="7BC7652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2.易燃易爆物品、危险化学品等危险物品的经营、储存、运输企业等，应当至少每半年组织一次生产安全事故应急救援预案演练。</w:t>
      </w:r>
    </w:p>
    <w:p w14:paraId="2B7FC1F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3.应急救援演练结束后应及时进行评估、总结，验证应急预案的适用性，并及时修订和完善应急预案，提高应急处置能力。演练评估报告在20个工作日内上报区政府和市应急管理局。</w:t>
      </w:r>
    </w:p>
    <w:p w14:paraId="5F41CB78">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76" w:name="_Toc7025"/>
      <w:bookmarkStart w:id="177" w:name="_Toc23309"/>
      <w:bookmarkStart w:id="178" w:name="_Toc16772"/>
      <w:r>
        <w:rPr>
          <w:rFonts w:hint="eastAsia" w:ascii="楷体" w:hAnsi="楷体" w:eastAsia="楷体" w:cs="楷体"/>
          <w:b w:val="0"/>
          <w:bCs w:val="0"/>
          <w:color w:val="auto"/>
          <w:spacing w:val="0"/>
          <w:sz w:val="32"/>
          <w:szCs w:val="32"/>
          <w:lang w:eastAsia="zh-CN"/>
        </w:rPr>
        <w:t>（四）监督检查与奖惩</w:t>
      </w:r>
      <w:bookmarkEnd w:id="176"/>
      <w:bookmarkEnd w:id="177"/>
      <w:bookmarkEnd w:id="178"/>
    </w:p>
    <w:p w14:paraId="7A279C2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区应急局对本预案的实施过程进行监督检查，保障应急措施到位。</w:t>
      </w:r>
    </w:p>
    <w:p w14:paraId="5C9E4AA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生产安全事故应急处置，实行党政领导共同负责制和责任追究制。对在应急处置中作出突出贡献的集体和个人给予表彰和奖励。对迟报、瞒报、漏报和谎报重要情况、事故救援不力及其他失职、渎职行为，依法对有关责任人给予行政处分；构成犯罪的，依法追究刑事责任。</w:t>
      </w:r>
    </w:p>
    <w:p w14:paraId="3FA3A5D7">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79" w:name="_Toc23964"/>
      <w:bookmarkStart w:id="180" w:name="_Toc27589"/>
      <w:bookmarkStart w:id="181" w:name="_Toc30468"/>
      <w:r>
        <w:rPr>
          <w:rFonts w:hint="eastAsia" w:ascii="楷体" w:hAnsi="楷体" w:eastAsia="楷体" w:cs="楷体"/>
          <w:b w:val="0"/>
          <w:bCs w:val="0"/>
          <w:color w:val="auto"/>
          <w:spacing w:val="0"/>
          <w:sz w:val="32"/>
          <w:szCs w:val="32"/>
          <w:lang w:eastAsia="zh-CN"/>
        </w:rPr>
        <w:t>（五）修订与更新</w:t>
      </w:r>
      <w:bookmarkEnd w:id="179"/>
      <w:bookmarkEnd w:id="180"/>
      <w:bookmarkEnd w:id="181"/>
    </w:p>
    <w:p w14:paraId="041DFE8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区应急局每三年组织一次预案评估，评估内容包括：本预案内容的针对性、实用性和可操作性。</w:t>
      </w:r>
    </w:p>
    <w:p w14:paraId="0DBA373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当以下情形发生时，区安防办应及时组织修订、完善本预案，并经区安全生产和防灾减灾救灾委员会审核后，上报区政府审批后执行：</w:t>
      </w:r>
    </w:p>
    <w:p w14:paraId="3BE51F5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1.依据的法律、法规、规章、标准及上位预案中的有关规定发生重大变化的；</w:t>
      </w:r>
    </w:p>
    <w:p w14:paraId="5FEFDE5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2.应急指挥机构及职责发生重大调整的；</w:t>
      </w:r>
    </w:p>
    <w:p w14:paraId="1032718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3.面临的风险发生重大变化；</w:t>
      </w:r>
    </w:p>
    <w:p w14:paraId="7A38FB8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4.重要应急资源发生重大变化；</w:t>
      </w:r>
    </w:p>
    <w:p w14:paraId="7717A8C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5.在应急演练和事故救援中发现需要修订预案的重大问题；</w:t>
      </w:r>
    </w:p>
    <w:p w14:paraId="61B23EF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6.编制单位认为应当修订的其他情况。</w:t>
      </w:r>
    </w:p>
    <w:p w14:paraId="0E25985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应急预案修订涉及组织指挥体系与职责、应急处置程序、主要处置措施、应急响应分级等内容变更的，修订工作应按照有关应急预案报备程序重新备案。</w:t>
      </w:r>
    </w:p>
    <w:p w14:paraId="53530871">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82" w:name="_Toc5913"/>
      <w:bookmarkStart w:id="183" w:name="_Toc18207"/>
      <w:bookmarkStart w:id="184" w:name="_Toc10418"/>
      <w:r>
        <w:rPr>
          <w:rFonts w:hint="eastAsia" w:ascii="楷体" w:hAnsi="楷体" w:eastAsia="楷体" w:cs="楷体"/>
          <w:b w:val="0"/>
          <w:bCs w:val="0"/>
          <w:color w:val="auto"/>
          <w:spacing w:val="0"/>
          <w:sz w:val="32"/>
          <w:szCs w:val="32"/>
          <w:lang w:eastAsia="zh-CN"/>
        </w:rPr>
        <w:t>（六）解释与批准</w:t>
      </w:r>
      <w:bookmarkEnd w:id="182"/>
      <w:bookmarkEnd w:id="183"/>
      <w:bookmarkEnd w:id="184"/>
    </w:p>
    <w:p w14:paraId="3377BD0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本预案由区应急局负责按照有关规定牵头组织编制与解释；经区政府批准，由区政府办公室印发各相关部门执行。</w:t>
      </w:r>
    </w:p>
    <w:p w14:paraId="6BEC90E6">
      <w:pPr>
        <w:pStyle w:val="3"/>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楷体" w:hAnsi="楷体" w:eastAsia="楷体" w:cs="楷体"/>
          <w:b w:val="0"/>
          <w:bCs w:val="0"/>
          <w:color w:val="auto"/>
          <w:spacing w:val="0"/>
          <w:sz w:val="32"/>
          <w:szCs w:val="32"/>
          <w:lang w:eastAsia="zh-CN"/>
        </w:rPr>
      </w:pPr>
      <w:bookmarkStart w:id="185" w:name="_Toc7652"/>
      <w:bookmarkStart w:id="186" w:name="_Toc6972"/>
      <w:bookmarkStart w:id="187" w:name="_Toc18404"/>
      <w:r>
        <w:rPr>
          <w:rFonts w:hint="eastAsia" w:ascii="楷体" w:hAnsi="楷体" w:eastAsia="楷体" w:cs="楷体"/>
          <w:b w:val="0"/>
          <w:bCs w:val="0"/>
          <w:color w:val="auto"/>
          <w:spacing w:val="0"/>
          <w:sz w:val="32"/>
          <w:szCs w:val="32"/>
          <w:lang w:eastAsia="zh-CN"/>
        </w:rPr>
        <w:t>（七）预案实施</w:t>
      </w:r>
      <w:bookmarkEnd w:id="185"/>
      <w:bookmarkEnd w:id="186"/>
      <w:bookmarkEnd w:id="187"/>
    </w:p>
    <w:p w14:paraId="426B0D1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本预案自印发之日起实施。</w:t>
      </w:r>
      <w:bookmarkStart w:id="188" w:name="_Toc3531"/>
      <w:bookmarkStart w:id="189" w:name="_Toc15523"/>
    </w:p>
    <w:p w14:paraId="23CE9A3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190" w:name="_Toc6564"/>
      <w:bookmarkStart w:id="191" w:name="_Toc14746"/>
      <w:r>
        <w:rPr>
          <w:rFonts w:hint="eastAsia" w:ascii="黑体" w:hAnsi="黑体" w:eastAsia="黑体" w:cs="黑体"/>
          <w:color w:val="auto"/>
          <w:spacing w:val="0"/>
          <w:sz w:val="32"/>
          <w:szCs w:val="32"/>
          <w:lang w:eastAsia="zh-CN"/>
        </w:rPr>
        <w:t>十二、附件</w:t>
      </w:r>
      <w:bookmarkEnd w:id="190"/>
      <w:bookmarkEnd w:id="191"/>
    </w:p>
    <w:p w14:paraId="48001D68">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b w:val="0"/>
          <w:bCs w:val="0"/>
          <w:color w:val="auto"/>
          <w:spacing w:val="0"/>
          <w:sz w:val="32"/>
          <w:szCs w:val="32"/>
          <w:lang w:eastAsia="zh-CN"/>
        </w:rPr>
      </w:pPr>
      <w:bookmarkStart w:id="192" w:name="_Toc12449"/>
      <w:r>
        <w:rPr>
          <w:rFonts w:hint="eastAsia" w:ascii="仿宋" w:hAnsi="仿宋" w:eastAsia="仿宋" w:cs="仿宋"/>
          <w:b w:val="0"/>
          <w:bCs w:val="0"/>
          <w:color w:val="auto"/>
          <w:spacing w:val="0"/>
          <w:sz w:val="32"/>
          <w:szCs w:val="32"/>
          <w:lang w:eastAsia="zh-CN"/>
        </w:rPr>
        <w:t>附件：</w:t>
      </w:r>
      <w:bookmarkEnd w:id="192"/>
      <w:r>
        <w:rPr>
          <w:rFonts w:hint="eastAsia" w:ascii="仿宋" w:hAnsi="仿宋" w:eastAsia="仿宋" w:cs="仿宋"/>
          <w:b w:val="0"/>
          <w:bCs w:val="0"/>
          <w:color w:val="auto"/>
          <w:spacing w:val="0"/>
          <w:sz w:val="32"/>
          <w:szCs w:val="32"/>
          <w:lang w:val="en-US" w:eastAsia="zh-CN"/>
        </w:rPr>
        <w:t>1.</w:t>
      </w:r>
      <w:r>
        <w:rPr>
          <w:rFonts w:hint="eastAsia" w:ascii="仿宋" w:hAnsi="仿宋" w:eastAsia="仿宋" w:cs="仿宋"/>
          <w:b w:val="0"/>
          <w:bCs w:val="0"/>
          <w:color w:val="auto"/>
          <w:spacing w:val="0"/>
          <w:sz w:val="32"/>
          <w:szCs w:val="32"/>
          <w:lang w:eastAsia="zh-CN"/>
        </w:rPr>
        <w:t>危险化学品生产安全事故分级</w:t>
      </w:r>
    </w:p>
    <w:p w14:paraId="5F18FA6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1600" w:firstLineChars="500"/>
        <w:jc w:val="both"/>
        <w:textAlignment w:val="baseline"/>
        <w:rPr>
          <w:rFonts w:hint="default" w:ascii="仿宋" w:hAnsi="仿宋" w:eastAsia="仿宋" w:cs="仿宋"/>
          <w:color w:val="auto"/>
          <w:spacing w:val="0"/>
          <w:sz w:val="32"/>
          <w:szCs w:val="32"/>
          <w:lang w:val="en-US" w:eastAsia="zh-CN"/>
        </w:rPr>
      </w:pPr>
      <w:r>
        <w:rPr>
          <w:rFonts w:hint="eastAsia" w:ascii="仿宋" w:hAnsi="仿宋" w:eastAsia="仿宋" w:cs="仿宋"/>
          <w:b w:val="0"/>
          <w:bCs w:val="0"/>
          <w:snapToGrid w:val="0"/>
          <w:color w:val="auto"/>
          <w:spacing w:val="0"/>
          <w:sz w:val="32"/>
          <w:szCs w:val="32"/>
          <w:lang w:val="en-US" w:eastAsia="zh-CN" w:bidi="ar-SA"/>
        </w:rPr>
        <w:t>2.</w:t>
      </w:r>
      <w:r>
        <w:rPr>
          <w:rFonts w:hint="eastAsia" w:ascii="仿宋" w:hAnsi="仿宋" w:eastAsia="仿宋" w:cs="仿宋"/>
          <w:b w:val="0"/>
          <w:bCs w:val="0"/>
          <w:color w:val="auto"/>
          <w:spacing w:val="0"/>
          <w:sz w:val="32"/>
          <w:szCs w:val="32"/>
          <w:lang w:val="zh-CN" w:eastAsia="zh-CN" w:bidi="zh-CN"/>
        </w:rPr>
        <w:t>风险分级管控及评价方法</w:t>
      </w:r>
    </w:p>
    <w:p w14:paraId="3C8899C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3E24B9E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0BB2B8D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155AB49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233A5C4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3970CA0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4313D8C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0CF743C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368D82B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5BBA71D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2D9D964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7D17809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0064477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41C06E7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5553A70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6057919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50B4E3E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5325673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32865EE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p>
    <w:p w14:paraId="165B7207">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outlineLvl w:val="0"/>
        <w:rPr>
          <w:rFonts w:hint="eastAsia" w:ascii="黑体" w:hAnsi="黑体" w:eastAsia="黑体" w:cs="黑体"/>
          <w:color w:val="auto"/>
          <w:spacing w:val="0"/>
          <w:sz w:val="32"/>
          <w:szCs w:val="32"/>
          <w:lang w:eastAsia="zh-CN"/>
        </w:rPr>
      </w:pPr>
    </w:p>
    <w:p w14:paraId="233AF13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outlineLvl w:val="0"/>
        <w:rPr>
          <w:rFonts w:hint="default" w:ascii="黑体" w:hAnsi="黑体" w:eastAsia="黑体" w:cs="黑体"/>
          <w:color w:val="auto"/>
          <w:spacing w:val="0"/>
          <w:sz w:val="32"/>
          <w:szCs w:val="32"/>
          <w:lang w:val="en-US" w:eastAsia="zh-CN"/>
        </w:rPr>
      </w:pPr>
      <w:bookmarkStart w:id="193" w:name="_Toc9256"/>
      <w:bookmarkStart w:id="194" w:name="_Toc14486"/>
      <w:r>
        <w:rPr>
          <w:rFonts w:hint="eastAsia" w:ascii="黑体" w:hAnsi="黑体" w:eastAsia="黑体" w:cs="黑体"/>
          <w:color w:val="auto"/>
          <w:spacing w:val="0"/>
          <w:sz w:val="32"/>
          <w:szCs w:val="32"/>
          <w:lang w:val="en-US" w:eastAsia="zh-CN"/>
        </w:rPr>
        <w:t>附件</w:t>
      </w:r>
      <w:bookmarkEnd w:id="193"/>
      <w:r>
        <w:rPr>
          <w:rFonts w:hint="eastAsia" w:ascii="黑体" w:hAnsi="黑体" w:eastAsia="黑体" w:cs="黑体"/>
          <w:color w:val="auto"/>
          <w:spacing w:val="0"/>
          <w:sz w:val="32"/>
          <w:szCs w:val="32"/>
          <w:lang w:val="en-US" w:eastAsia="zh-CN"/>
        </w:rPr>
        <w:t>1</w:t>
      </w:r>
      <w:bookmarkEnd w:id="194"/>
    </w:p>
    <w:p w14:paraId="181747B3">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outlineLvl w:val="0"/>
        <w:rPr>
          <w:rFonts w:hint="eastAsia" w:ascii="方正小标宋简体" w:hAnsi="方正小标宋简体" w:eastAsia="方正小标宋简体" w:cs="方正小标宋简体"/>
          <w:b w:val="0"/>
          <w:bCs w:val="0"/>
          <w:color w:val="auto"/>
          <w:spacing w:val="0"/>
          <w:sz w:val="44"/>
          <w:szCs w:val="44"/>
          <w:lang w:eastAsia="zh-CN"/>
        </w:rPr>
      </w:pPr>
    </w:p>
    <w:p w14:paraId="444786D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简体" w:hAnsi="方正小标宋简体" w:eastAsia="方正小标宋简体" w:cs="方正小标宋简体"/>
          <w:b w:val="0"/>
          <w:bCs w:val="0"/>
          <w:color w:val="auto"/>
          <w:spacing w:val="0"/>
          <w:sz w:val="44"/>
          <w:szCs w:val="44"/>
          <w:lang w:eastAsia="zh-CN"/>
        </w:rPr>
      </w:pPr>
      <w:bookmarkStart w:id="195" w:name="_Toc28351"/>
      <w:bookmarkStart w:id="196" w:name="_Toc32108"/>
      <w:r>
        <w:rPr>
          <w:rFonts w:hint="eastAsia" w:ascii="方正小标宋简体" w:hAnsi="方正小标宋简体" w:eastAsia="方正小标宋简体" w:cs="方正小标宋简体"/>
          <w:b w:val="0"/>
          <w:bCs w:val="0"/>
          <w:color w:val="auto"/>
          <w:spacing w:val="0"/>
          <w:sz w:val="44"/>
          <w:szCs w:val="44"/>
          <w:lang w:eastAsia="zh-CN"/>
        </w:rPr>
        <w:t>危险化学品生产安全事故分级</w:t>
      </w:r>
      <w:bookmarkEnd w:id="195"/>
      <w:bookmarkEnd w:id="196"/>
    </w:p>
    <w:p w14:paraId="5D81A05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outlineLvl w:val="0"/>
        <w:rPr>
          <w:rFonts w:hint="eastAsia" w:ascii="方正小标宋简体" w:hAnsi="方正小标宋简体" w:eastAsia="方正小标宋简体" w:cs="方正小标宋简体"/>
          <w:b w:val="0"/>
          <w:bCs w:val="0"/>
          <w:color w:val="auto"/>
          <w:spacing w:val="0"/>
          <w:sz w:val="44"/>
          <w:szCs w:val="44"/>
          <w:lang w:eastAsia="zh-CN"/>
        </w:rPr>
      </w:pPr>
    </w:p>
    <w:bookmarkEnd w:id="188"/>
    <w:bookmarkEnd w:id="189"/>
    <w:p w14:paraId="6BD5077A">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根据事故的性质、危害程度、涉及范围，将危险化学品生产安全事故划分为四级：特别重大（Ⅰ级）、重大（Ⅱ级）、较大（Ⅲ级）和一般（Ⅳ级）。</w:t>
      </w:r>
    </w:p>
    <w:p w14:paraId="668CC36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楷体" w:hAnsi="楷体" w:eastAsia="楷体" w:cs="楷体"/>
          <w:b w:val="0"/>
          <w:bCs w:val="0"/>
          <w:color w:val="auto"/>
          <w:spacing w:val="0"/>
          <w:sz w:val="32"/>
          <w:szCs w:val="32"/>
          <w:lang w:eastAsia="zh-CN"/>
        </w:rPr>
      </w:pPr>
      <w:r>
        <w:rPr>
          <w:rFonts w:hint="eastAsia" w:ascii="楷体" w:hAnsi="楷体" w:eastAsia="楷体" w:cs="楷体"/>
          <w:b w:val="0"/>
          <w:bCs w:val="0"/>
          <w:color w:val="auto"/>
          <w:spacing w:val="0"/>
          <w:sz w:val="32"/>
          <w:szCs w:val="32"/>
          <w:lang w:eastAsia="zh-CN"/>
        </w:rPr>
        <w:t>（一）特别重大事故（Ⅰ级）</w:t>
      </w:r>
    </w:p>
    <w:p w14:paraId="4131892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1.造成30人以上死亡（含失踪），或者危及30人以上生命安全，或者100人以上中毒（重伤），或者直接经济损失1亿元以上的特别重大事故；</w:t>
      </w:r>
    </w:p>
    <w:p w14:paraId="2467A09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2.需要紧急转移安置10万人以上的事故；</w:t>
      </w:r>
    </w:p>
    <w:p w14:paraId="3688B1A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3.跨省级行政区的事故；</w:t>
      </w:r>
    </w:p>
    <w:p w14:paraId="351308C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4.超出省区政府应急处置能力的事故；</w:t>
      </w:r>
    </w:p>
    <w:p w14:paraId="3643FF2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5.国务院认为需要启动I级应急响应的事故。</w:t>
      </w:r>
    </w:p>
    <w:p w14:paraId="69A12F1F">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楷体" w:hAnsi="楷体" w:eastAsia="楷体" w:cs="楷体"/>
          <w:b w:val="0"/>
          <w:bCs w:val="0"/>
          <w:color w:val="auto"/>
          <w:spacing w:val="0"/>
          <w:sz w:val="32"/>
          <w:szCs w:val="32"/>
          <w:lang w:eastAsia="zh-CN"/>
        </w:rPr>
      </w:pPr>
      <w:r>
        <w:rPr>
          <w:rFonts w:hint="eastAsia" w:ascii="楷体" w:hAnsi="楷体" w:eastAsia="楷体" w:cs="楷体"/>
          <w:b w:val="0"/>
          <w:bCs w:val="0"/>
          <w:color w:val="auto"/>
          <w:spacing w:val="0"/>
          <w:sz w:val="32"/>
          <w:szCs w:val="32"/>
          <w:lang w:eastAsia="zh-CN"/>
        </w:rPr>
        <w:t>（二）重大事故（Ⅱ级）</w:t>
      </w:r>
    </w:p>
    <w:p w14:paraId="6799A6EE">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1.造成10人以上、30人以下死亡（含失踪），或者50人以上、100人以下中毒（重伤），或者直接经济损失5000万元以上、1亿元以下的重大事故；</w:t>
      </w:r>
    </w:p>
    <w:p w14:paraId="0CA5DD2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2.需要紧急转移安置1万人以上、10万人以下的事故；</w:t>
      </w:r>
    </w:p>
    <w:p w14:paraId="522272E4">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3.跨市级行政区的事故；</w:t>
      </w:r>
    </w:p>
    <w:p w14:paraId="0E9E7E7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4.超出市人民政府应急处置能力的事故；</w:t>
      </w:r>
    </w:p>
    <w:p w14:paraId="7166EC8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5.省政府认为有必要启动Ⅱ级应急响应的事故。</w:t>
      </w:r>
    </w:p>
    <w:p w14:paraId="148BF71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楷体" w:hAnsi="楷体" w:eastAsia="楷体" w:cs="楷体"/>
          <w:b w:val="0"/>
          <w:bCs w:val="0"/>
          <w:color w:val="auto"/>
          <w:spacing w:val="0"/>
          <w:sz w:val="32"/>
          <w:szCs w:val="32"/>
          <w:lang w:eastAsia="zh-CN"/>
        </w:rPr>
      </w:pPr>
      <w:r>
        <w:rPr>
          <w:rFonts w:hint="eastAsia" w:ascii="楷体" w:hAnsi="楷体" w:eastAsia="楷体" w:cs="楷体"/>
          <w:b w:val="0"/>
          <w:bCs w:val="0"/>
          <w:color w:val="auto"/>
          <w:spacing w:val="0"/>
          <w:sz w:val="32"/>
          <w:szCs w:val="32"/>
          <w:lang w:eastAsia="zh-CN"/>
        </w:rPr>
        <w:t>（三）较大事故（Ⅲ级）</w:t>
      </w:r>
    </w:p>
    <w:p w14:paraId="589217B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color w:val="auto"/>
          <w:spacing w:val="0"/>
          <w:sz w:val="32"/>
          <w:szCs w:val="32"/>
          <w:lang w:eastAsia="zh-CN"/>
        </w:rPr>
        <w:t>1.造成3人以上、10人以下死亡（含失踪），或10人以</w:t>
      </w:r>
      <w:bookmarkEnd w:id="201"/>
      <w:r>
        <w:rPr>
          <w:rFonts w:hint="eastAsia" w:ascii="仿宋" w:hAnsi="仿宋" w:eastAsia="仿宋" w:cs="仿宋"/>
          <w:spacing w:val="0"/>
          <w:sz w:val="32"/>
          <w:szCs w:val="32"/>
          <w:lang w:eastAsia="zh-CN"/>
        </w:rPr>
        <w:t>上、50人以下中毒（重伤），或者直接经济损失1000万元以上、5000万元以下的较大事故；</w:t>
      </w:r>
    </w:p>
    <w:p w14:paraId="77A4F829">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2.需要紧急转移安置1000人以上、1</w:t>
      </w:r>
      <w:r>
        <w:rPr>
          <w:rFonts w:hint="eastAsia" w:ascii="仿宋" w:hAnsi="仿宋" w:eastAsia="仿宋" w:cs="仿宋"/>
          <w:spacing w:val="0"/>
          <w:sz w:val="32"/>
          <w:szCs w:val="32"/>
          <w:lang w:val="en-US" w:eastAsia="zh-CN"/>
        </w:rPr>
        <w:t>0000</w:t>
      </w:r>
      <w:r>
        <w:rPr>
          <w:rFonts w:hint="eastAsia" w:ascii="仿宋" w:hAnsi="仿宋" w:eastAsia="仿宋" w:cs="仿宋"/>
          <w:spacing w:val="0"/>
          <w:sz w:val="32"/>
          <w:szCs w:val="32"/>
          <w:lang w:eastAsia="zh-CN"/>
        </w:rPr>
        <w:t>人以下的事故；</w:t>
      </w:r>
    </w:p>
    <w:p w14:paraId="0ED12293">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3.发生跨区级行政区的事故；</w:t>
      </w:r>
    </w:p>
    <w:p w14:paraId="0828279D">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4.超出区政府应急处置能力的事故；</w:t>
      </w:r>
    </w:p>
    <w:p w14:paraId="07846D15">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5.市人民政府认为有必要启动Ⅲ级应急响应的事故。</w:t>
      </w:r>
    </w:p>
    <w:p w14:paraId="7E597732">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楷体" w:hAnsi="楷体" w:eastAsia="楷体" w:cs="楷体"/>
          <w:b w:val="0"/>
          <w:bCs w:val="0"/>
          <w:color w:val="auto"/>
          <w:spacing w:val="0"/>
          <w:sz w:val="32"/>
          <w:szCs w:val="32"/>
          <w:lang w:eastAsia="zh-CN"/>
        </w:rPr>
      </w:pPr>
      <w:r>
        <w:rPr>
          <w:rFonts w:hint="eastAsia" w:ascii="楷体" w:hAnsi="楷体" w:eastAsia="楷体" w:cs="楷体"/>
          <w:b w:val="0"/>
          <w:bCs w:val="0"/>
          <w:color w:val="auto"/>
          <w:spacing w:val="0"/>
          <w:sz w:val="32"/>
          <w:szCs w:val="32"/>
          <w:lang w:eastAsia="zh-CN"/>
        </w:rPr>
        <w:t>（四）一般事故（Ⅳ级）</w:t>
      </w:r>
    </w:p>
    <w:p w14:paraId="493EBEB0">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1.造成3人以下死亡（含失踪），或者10人以下中毒（重伤），或者1000万元以下直接经济损失的事故；</w:t>
      </w:r>
    </w:p>
    <w:p w14:paraId="072633CB">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2.区政府认为有必要启动Ⅳ级应急响应的事故。</w:t>
      </w:r>
    </w:p>
    <w:p w14:paraId="5F9D9BA8">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color w:val="auto"/>
          <w:spacing w:val="0"/>
          <w:sz w:val="32"/>
          <w:szCs w:val="32"/>
          <w:lang w:eastAsia="zh-CN"/>
        </w:rPr>
        <w:sectPr>
          <w:footerReference r:id="rId6" w:type="default"/>
          <w:pgSz w:w="11906" w:h="16839"/>
          <w:pgMar w:top="1390" w:right="1701" w:bottom="1434" w:left="1785" w:header="0" w:footer="1159" w:gutter="0"/>
          <w:pgNumType w:fmt="decimal" w:start="1"/>
          <w:cols w:space="720" w:num="1"/>
        </w:sectPr>
      </w:pPr>
      <w:r>
        <w:rPr>
          <w:rFonts w:hint="eastAsia" w:ascii="仿宋" w:hAnsi="仿宋" w:eastAsia="仿宋" w:cs="仿宋"/>
          <w:color w:val="auto"/>
          <w:spacing w:val="0"/>
          <w:sz w:val="32"/>
          <w:szCs w:val="32"/>
          <w:lang w:eastAsia="zh-CN"/>
        </w:rPr>
        <w:t>本预案所称的“以上”包括本数，所称的“以下”不包括本数。</w:t>
      </w:r>
    </w:p>
    <w:p w14:paraId="78B15C2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rPr>
      </w:pPr>
      <w:bookmarkStart w:id="197" w:name="_Toc15518"/>
      <w:bookmarkStart w:id="198" w:name="_Toc30363"/>
      <w:r>
        <w:rPr>
          <w:rFonts w:hint="eastAsia" w:ascii="黑体" w:hAnsi="黑体" w:eastAsia="黑体" w:cs="黑体"/>
          <w:spacing w:val="0"/>
          <w:sz w:val="32"/>
          <w:szCs w:val="32"/>
          <w:lang w:val="en-US" w:eastAsia="zh-CN"/>
        </w:rPr>
        <w:t>附件</w:t>
      </w:r>
      <w:bookmarkEnd w:id="197"/>
      <w:r>
        <w:rPr>
          <w:rFonts w:hint="eastAsia" w:ascii="黑体" w:hAnsi="黑体" w:eastAsia="黑体" w:cs="黑体"/>
          <w:spacing w:val="0"/>
          <w:sz w:val="32"/>
          <w:szCs w:val="32"/>
          <w:lang w:val="en-US" w:eastAsia="zh-CN"/>
        </w:rPr>
        <w:t>2</w:t>
      </w:r>
      <w:bookmarkEnd w:id="198"/>
    </w:p>
    <w:p w14:paraId="270676F1">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pPr>
      <w:bookmarkStart w:id="199" w:name="_Toc21741"/>
      <w:bookmarkStart w:id="200" w:name="_Toc23571"/>
    </w:p>
    <w:p w14:paraId="7EE25D3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pPr>
      <w:r>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t>风险分级管控及评价方法</w:t>
      </w:r>
      <w:bookmarkEnd w:id="199"/>
      <w:bookmarkEnd w:id="200"/>
    </w:p>
    <w:p w14:paraId="0952136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pPr>
    </w:p>
    <w:p w14:paraId="056C0D2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LS法安全风险评价判定准则</w:t>
      </w:r>
    </w:p>
    <w:p w14:paraId="2FDA38B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1.风险矩阵法的主要内容是：</w:t>
      </w:r>
      <w:r>
        <w:rPr>
          <w:rFonts w:hint="eastAsia" w:ascii="仿宋" w:hAnsi="仿宋" w:eastAsia="仿宋" w:cs="仿宋"/>
          <w:sz w:val="32"/>
          <w:szCs w:val="32"/>
        </w:rPr>
        <w:t>识别出存在的风险，分析和评价风险事件发生的可能性和后果，二者相乘，得出风险的风险值，确定风险级别，进而决定应当采取的风险控制措施。</w:t>
      </w:r>
    </w:p>
    <w:p w14:paraId="182B794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数学表达式为：R=L×S，其中，</w:t>
      </w:r>
    </w:p>
    <w:p w14:paraId="31E244F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R代表风险值；</w:t>
      </w:r>
    </w:p>
    <w:p w14:paraId="66A6266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L代表风险事件发生可能性；</w:t>
      </w:r>
    </w:p>
    <w:p w14:paraId="70BD652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S代表风险事件后果严重程度。</w:t>
      </w:r>
    </w:p>
    <w:p w14:paraId="7A1E341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2.风险事件发生可能性（L）取值</w:t>
      </w:r>
    </w:p>
    <w:p w14:paraId="0C9A597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针对识别出的风险，对照风险事件发生的可能性，取其最大值作为最终L值，即满足若干条件之一时就取对应的L值，而无需满足所有条件。对照过程中，涉及到资料的，要见证到具体名称和条款；涉及到人员的，要具体到所有参与者。</w:t>
      </w:r>
    </w:p>
    <w:p w14:paraId="61E4C71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事件发生的可能性（L）用事件发生的概率表示，取值如下表所示：</w:t>
      </w:r>
    </w:p>
    <w:p w14:paraId="02687D8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p>
    <w:p w14:paraId="519AFD2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风险事件发生可能性（L）参考取值表</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64"/>
        <w:gridCol w:w="1034"/>
        <w:gridCol w:w="1553"/>
        <w:gridCol w:w="1648"/>
        <w:gridCol w:w="2427"/>
        <w:gridCol w:w="1396"/>
      </w:tblGrid>
      <w:tr w14:paraId="7E615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64" w:type="dxa"/>
            <w:shd w:val="clear" w:color="auto" w:fill="auto"/>
            <w:vAlign w:val="center"/>
          </w:tcPr>
          <w:p w14:paraId="12AFD4D6">
            <w:pPr>
              <w:pStyle w:val="15"/>
              <w:jc w:val="both"/>
              <w:rPr>
                <w:rFonts w:hint="eastAsia" w:ascii="仿宋" w:hAnsi="仿宋" w:eastAsia="仿宋" w:cs="仿宋"/>
                <w:sz w:val="32"/>
                <w:szCs w:val="28"/>
              </w:rPr>
            </w:pPr>
            <w:r>
              <w:rPr>
                <w:rFonts w:hint="eastAsia" w:ascii="仿宋" w:hAnsi="仿宋" w:eastAsia="仿宋" w:cs="仿宋"/>
                <w:sz w:val="32"/>
                <w:szCs w:val="28"/>
              </w:rPr>
              <w:t>L</w:t>
            </w:r>
          </w:p>
        </w:tc>
        <w:tc>
          <w:tcPr>
            <w:tcW w:w="1034" w:type="dxa"/>
            <w:shd w:val="clear" w:color="auto" w:fill="auto"/>
            <w:vAlign w:val="center"/>
          </w:tcPr>
          <w:p w14:paraId="601D1FC2">
            <w:pPr>
              <w:pStyle w:val="15"/>
              <w:jc w:val="both"/>
              <w:rPr>
                <w:rFonts w:hint="eastAsia" w:ascii="仿宋" w:hAnsi="仿宋" w:eastAsia="仿宋" w:cs="仿宋"/>
                <w:sz w:val="32"/>
                <w:szCs w:val="28"/>
              </w:rPr>
            </w:pPr>
            <w:r>
              <w:rPr>
                <w:rFonts w:hint="eastAsia" w:ascii="仿宋" w:hAnsi="仿宋" w:eastAsia="仿宋" w:cs="仿宋"/>
                <w:sz w:val="32"/>
                <w:szCs w:val="28"/>
              </w:rPr>
              <w:t>参考频率</w:t>
            </w:r>
          </w:p>
        </w:tc>
        <w:tc>
          <w:tcPr>
            <w:tcW w:w="1553" w:type="dxa"/>
            <w:shd w:val="clear" w:color="auto" w:fill="auto"/>
            <w:vAlign w:val="center"/>
          </w:tcPr>
          <w:p w14:paraId="09E42CD2">
            <w:pPr>
              <w:pStyle w:val="15"/>
              <w:jc w:val="both"/>
              <w:rPr>
                <w:rFonts w:hint="eastAsia" w:ascii="仿宋" w:hAnsi="仿宋" w:eastAsia="仿宋" w:cs="仿宋"/>
                <w:sz w:val="32"/>
                <w:szCs w:val="28"/>
              </w:rPr>
            </w:pPr>
            <w:r>
              <w:rPr>
                <w:rFonts w:hint="eastAsia" w:ascii="仿宋" w:hAnsi="仿宋" w:eastAsia="仿宋" w:cs="仿宋"/>
                <w:sz w:val="32"/>
                <w:szCs w:val="28"/>
              </w:rPr>
              <w:t>人员情况</w:t>
            </w:r>
          </w:p>
        </w:tc>
        <w:tc>
          <w:tcPr>
            <w:tcW w:w="1648" w:type="dxa"/>
            <w:shd w:val="clear" w:color="auto" w:fill="auto"/>
            <w:vAlign w:val="center"/>
          </w:tcPr>
          <w:p w14:paraId="403679D4">
            <w:pPr>
              <w:pStyle w:val="15"/>
              <w:jc w:val="both"/>
              <w:rPr>
                <w:rFonts w:hint="eastAsia" w:ascii="仿宋" w:hAnsi="仿宋" w:eastAsia="仿宋" w:cs="仿宋"/>
                <w:sz w:val="32"/>
                <w:szCs w:val="28"/>
              </w:rPr>
            </w:pPr>
            <w:r>
              <w:rPr>
                <w:rFonts w:hint="eastAsia" w:ascii="仿宋" w:hAnsi="仿宋" w:eastAsia="仿宋" w:cs="仿宋"/>
                <w:sz w:val="32"/>
                <w:szCs w:val="28"/>
              </w:rPr>
              <w:t>设备设施、工器具及材料</w:t>
            </w:r>
          </w:p>
        </w:tc>
        <w:tc>
          <w:tcPr>
            <w:shd w:val="clear" w:color="auto" w:fill="auto"/>
            <w:vAlign w:val="center"/>
          </w:tcPr>
          <w:p w14:paraId="3FCE5940">
            <w:pPr>
              <w:pStyle w:val="15"/>
              <w:jc w:val="center"/>
              <w:rPr>
                <w:rFonts w:hint="eastAsia" w:ascii="仿宋" w:hAnsi="仿宋" w:eastAsia="仿宋" w:cs="仿宋"/>
                <w:sz w:val="32"/>
                <w:szCs w:val="28"/>
              </w:rPr>
            </w:pPr>
            <w:r>
              <w:rPr>
                <w:rFonts w:hint="eastAsia" w:ascii="仿宋" w:hAnsi="仿宋" w:eastAsia="仿宋" w:cs="仿宋"/>
                <w:sz w:val="32"/>
                <w:szCs w:val="28"/>
              </w:rPr>
              <w:t>环境</w:t>
            </w:r>
          </w:p>
          <w:p w14:paraId="7DD0C943">
            <w:pPr>
              <w:pStyle w:val="15"/>
              <w:jc w:val="center"/>
              <w:rPr>
                <w:rFonts w:hint="eastAsia" w:ascii="仿宋" w:hAnsi="仿宋" w:eastAsia="仿宋" w:cs="仿宋"/>
                <w:sz w:val="32"/>
                <w:szCs w:val="28"/>
              </w:rPr>
            </w:pPr>
            <w:r>
              <w:rPr>
                <w:rFonts w:hint="eastAsia" w:ascii="仿宋" w:hAnsi="仿宋" w:eastAsia="仿宋" w:cs="仿宋"/>
                <w:sz w:val="32"/>
                <w:szCs w:val="28"/>
              </w:rPr>
              <w:t>状况</w:t>
            </w:r>
          </w:p>
        </w:tc>
        <w:tc>
          <w:tcPr>
            <w:shd w:val="clear" w:color="auto" w:fill="auto"/>
            <w:vAlign w:val="center"/>
          </w:tcPr>
          <w:p w14:paraId="6E003DBE">
            <w:pPr>
              <w:pStyle w:val="15"/>
              <w:jc w:val="both"/>
              <w:rPr>
                <w:rFonts w:hint="eastAsia" w:ascii="仿宋" w:hAnsi="仿宋" w:eastAsia="仿宋" w:cs="仿宋"/>
                <w:sz w:val="32"/>
                <w:szCs w:val="28"/>
              </w:rPr>
            </w:pPr>
            <w:r>
              <w:rPr>
                <w:rFonts w:hint="eastAsia" w:ascii="仿宋" w:hAnsi="仿宋" w:eastAsia="仿宋" w:cs="仿宋"/>
                <w:sz w:val="32"/>
                <w:szCs w:val="28"/>
              </w:rPr>
              <w:t>规程和针对性管理方案</w:t>
            </w:r>
          </w:p>
        </w:tc>
      </w:tr>
      <w:tr w14:paraId="42082B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55" w:hRule="atLeast"/>
          <w:jc w:val="center"/>
        </w:trPr>
        <w:tc>
          <w:tcPr>
            <w:tcW w:w="464" w:type="dxa"/>
            <w:shd w:val="clear" w:color="auto" w:fill="auto"/>
            <w:vAlign w:val="center"/>
          </w:tcPr>
          <w:p w14:paraId="54F655CD">
            <w:pPr>
              <w:pStyle w:val="15"/>
              <w:jc w:val="both"/>
              <w:rPr>
                <w:rFonts w:hint="eastAsia" w:ascii="仿宋" w:hAnsi="仿宋" w:eastAsia="仿宋" w:cs="仿宋"/>
                <w:sz w:val="32"/>
                <w:szCs w:val="28"/>
              </w:rPr>
            </w:pPr>
            <w:r>
              <w:rPr>
                <w:rFonts w:hint="eastAsia" w:ascii="仿宋" w:hAnsi="仿宋" w:eastAsia="仿宋" w:cs="仿宋"/>
                <w:sz w:val="32"/>
                <w:szCs w:val="28"/>
              </w:rPr>
              <w:t>5</w:t>
            </w:r>
          </w:p>
        </w:tc>
        <w:tc>
          <w:tcPr>
            <w:tcW w:w="1034" w:type="dxa"/>
            <w:shd w:val="clear" w:color="auto" w:fill="auto"/>
            <w:textDirection w:val="tbLrV"/>
            <w:vAlign w:val="center"/>
          </w:tcPr>
          <w:p w14:paraId="43EA7740">
            <w:pPr>
              <w:pStyle w:val="15"/>
              <w:ind w:left="108" w:leftChars="0" w:right="113" w:firstLine="0" w:firstLineChars="0"/>
              <w:jc w:val="both"/>
              <w:rPr>
                <w:rFonts w:hint="eastAsia" w:ascii="仿宋" w:hAnsi="仿宋" w:eastAsia="仿宋" w:cs="仿宋"/>
                <w:sz w:val="32"/>
                <w:szCs w:val="28"/>
              </w:rPr>
            </w:pPr>
            <w:r>
              <w:rPr>
                <w:rFonts w:hint="eastAsia" w:ascii="仿宋" w:hAnsi="仿宋" w:eastAsia="仿宋" w:cs="仿宋"/>
                <w:sz w:val="32"/>
                <w:szCs w:val="28"/>
              </w:rPr>
              <w:t>本企业一年内发生过</w:t>
            </w:r>
          </w:p>
        </w:tc>
        <w:tc>
          <w:tcPr>
            <w:tcW w:w="1553" w:type="dxa"/>
            <w:shd w:val="clear" w:color="auto" w:fill="auto"/>
            <w:vAlign w:val="center"/>
          </w:tcPr>
          <w:p w14:paraId="7E2C824A">
            <w:pPr>
              <w:pStyle w:val="15"/>
              <w:jc w:val="both"/>
              <w:rPr>
                <w:rFonts w:hint="eastAsia" w:ascii="仿宋" w:hAnsi="仿宋" w:eastAsia="仿宋" w:cs="仿宋"/>
                <w:sz w:val="32"/>
                <w:szCs w:val="28"/>
              </w:rPr>
            </w:pPr>
            <w:r>
              <w:rPr>
                <w:rFonts w:hint="eastAsia" w:ascii="仿宋" w:hAnsi="仿宋" w:eastAsia="仿宋" w:cs="仿宋"/>
                <w:sz w:val="32"/>
                <w:szCs w:val="28"/>
              </w:rPr>
              <w:t>无培训</w:t>
            </w:r>
            <w:r>
              <w:rPr>
                <w:rFonts w:hint="eastAsia" w:ascii="仿宋" w:hAnsi="仿宋" w:eastAsia="仿宋" w:cs="仿宋"/>
                <w:sz w:val="32"/>
                <w:szCs w:val="28"/>
                <w:lang w:eastAsia="zh-CN"/>
              </w:rPr>
              <w:t>，</w:t>
            </w:r>
            <w:r>
              <w:rPr>
                <w:rFonts w:hint="eastAsia" w:ascii="仿宋" w:hAnsi="仿宋" w:eastAsia="仿宋" w:cs="仿宋"/>
                <w:sz w:val="32"/>
                <w:szCs w:val="28"/>
              </w:rPr>
              <w:t>无经验</w:t>
            </w:r>
          </w:p>
        </w:tc>
        <w:tc>
          <w:tcPr>
            <w:tcW w:w="1648" w:type="dxa"/>
            <w:shd w:val="clear" w:color="auto" w:fill="auto"/>
            <w:vAlign w:val="center"/>
          </w:tcPr>
          <w:p w14:paraId="4C07932B">
            <w:pPr>
              <w:pStyle w:val="15"/>
              <w:jc w:val="both"/>
              <w:rPr>
                <w:rFonts w:hint="eastAsia" w:ascii="仿宋" w:hAnsi="仿宋" w:eastAsia="仿宋" w:cs="仿宋"/>
                <w:sz w:val="32"/>
                <w:szCs w:val="28"/>
              </w:rPr>
            </w:pPr>
            <w:r>
              <w:rPr>
                <w:rFonts w:hint="eastAsia" w:ascii="仿宋" w:hAnsi="仿宋" w:eastAsia="仿宋" w:cs="仿宋"/>
                <w:sz w:val="32"/>
                <w:szCs w:val="28"/>
              </w:rPr>
              <w:t>超期运行或超检验期</w:t>
            </w:r>
          </w:p>
        </w:tc>
        <w:tc>
          <w:tcPr>
            <w:shd w:val="clear" w:color="auto" w:fill="auto"/>
            <w:vAlign w:val="center"/>
          </w:tcPr>
          <w:p w14:paraId="3EDF2C4A">
            <w:pPr>
              <w:pStyle w:val="15"/>
              <w:jc w:val="both"/>
              <w:rPr>
                <w:rFonts w:hint="eastAsia" w:ascii="仿宋" w:hAnsi="仿宋" w:eastAsia="仿宋" w:cs="仿宋"/>
                <w:sz w:val="32"/>
                <w:szCs w:val="28"/>
              </w:rPr>
            </w:pPr>
            <w:r>
              <w:rPr>
                <w:rFonts w:hint="eastAsia" w:ascii="仿宋" w:hAnsi="仿宋" w:eastAsia="仿宋" w:cs="仿宋"/>
                <w:sz w:val="32"/>
                <w:szCs w:val="28"/>
              </w:rPr>
              <w:t>危险化学品生产贮存区域；存在或可能产生危害气体</w:t>
            </w:r>
          </w:p>
        </w:tc>
        <w:tc>
          <w:tcPr>
            <w:shd w:val="clear" w:color="auto" w:fill="auto"/>
            <w:vAlign w:val="center"/>
          </w:tcPr>
          <w:p w14:paraId="45122DF2">
            <w:pPr>
              <w:pStyle w:val="15"/>
              <w:jc w:val="both"/>
              <w:rPr>
                <w:rFonts w:hint="eastAsia" w:ascii="仿宋" w:hAnsi="仿宋" w:eastAsia="仿宋" w:cs="仿宋"/>
                <w:sz w:val="32"/>
                <w:szCs w:val="28"/>
              </w:rPr>
            </w:pPr>
            <w:r>
              <w:rPr>
                <w:rFonts w:hint="eastAsia" w:ascii="仿宋" w:hAnsi="仿宋" w:eastAsia="仿宋" w:cs="仿宋"/>
                <w:sz w:val="32"/>
                <w:szCs w:val="28"/>
              </w:rPr>
              <w:t>没有</w:t>
            </w:r>
          </w:p>
        </w:tc>
      </w:tr>
      <w:tr w14:paraId="3A30D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775" w:hRule="atLeast"/>
          <w:jc w:val="center"/>
        </w:trPr>
        <w:tc>
          <w:tcPr>
            <w:tcW w:w="464" w:type="dxa"/>
            <w:shd w:val="clear" w:color="auto" w:fill="auto"/>
            <w:vAlign w:val="center"/>
          </w:tcPr>
          <w:p w14:paraId="31D804B7">
            <w:pPr>
              <w:pStyle w:val="15"/>
              <w:jc w:val="both"/>
              <w:rPr>
                <w:rFonts w:hint="eastAsia" w:ascii="仿宋" w:hAnsi="仿宋" w:eastAsia="仿宋" w:cs="仿宋"/>
                <w:sz w:val="32"/>
                <w:szCs w:val="28"/>
              </w:rPr>
            </w:pPr>
            <w:r>
              <w:rPr>
                <w:rFonts w:hint="eastAsia" w:ascii="仿宋" w:hAnsi="仿宋" w:eastAsia="仿宋" w:cs="仿宋"/>
                <w:sz w:val="32"/>
                <w:szCs w:val="28"/>
              </w:rPr>
              <w:t>4</w:t>
            </w:r>
          </w:p>
        </w:tc>
        <w:tc>
          <w:tcPr>
            <w:tcW w:w="1034" w:type="dxa"/>
            <w:shd w:val="clear" w:color="auto" w:fill="auto"/>
            <w:textDirection w:val="tbLrV"/>
            <w:vAlign w:val="center"/>
          </w:tcPr>
          <w:p w14:paraId="54044CCC">
            <w:pPr>
              <w:pStyle w:val="15"/>
              <w:ind w:left="108" w:leftChars="0" w:right="113" w:firstLine="0" w:firstLineChars="0"/>
              <w:jc w:val="both"/>
              <w:rPr>
                <w:rFonts w:hint="eastAsia" w:ascii="仿宋" w:hAnsi="仿宋" w:eastAsia="仿宋" w:cs="仿宋"/>
                <w:sz w:val="32"/>
                <w:szCs w:val="28"/>
              </w:rPr>
            </w:pPr>
            <w:r>
              <w:rPr>
                <w:rFonts w:hint="eastAsia" w:ascii="仿宋" w:hAnsi="仿宋" w:eastAsia="仿宋" w:cs="仿宋"/>
                <w:sz w:val="32"/>
                <w:szCs w:val="28"/>
              </w:rPr>
              <w:t>本集团一年内发生过</w:t>
            </w:r>
          </w:p>
        </w:tc>
        <w:tc>
          <w:tcPr>
            <w:tcW w:w="1553" w:type="dxa"/>
            <w:shd w:val="clear" w:color="auto" w:fill="auto"/>
            <w:vAlign w:val="center"/>
          </w:tcPr>
          <w:p w14:paraId="7BB4D14A">
            <w:pPr>
              <w:pStyle w:val="15"/>
              <w:jc w:val="both"/>
              <w:rPr>
                <w:rFonts w:hint="eastAsia" w:ascii="仿宋" w:hAnsi="仿宋" w:eastAsia="仿宋" w:cs="仿宋"/>
                <w:sz w:val="32"/>
                <w:szCs w:val="28"/>
              </w:rPr>
            </w:pPr>
            <w:r>
              <w:rPr>
                <w:rFonts w:hint="eastAsia" w:ascii="仿宋" w:hAnsi="仿宋" w:eastAsia="仿宋" w:cs="仿宋"/>
                <w:sz w:val="32"/>
                <w:szCs w:val="28"/>
              </w:rPr>
              <w:t>有培训但培训时间不够或未达成效果</w:t>
            </w:r>
          </w:p>
        </w:tc>
        <w:tc>
          <w:tcPr>
            <w:tcW w:w="1648" w:type="dxa"/>
            <w:shd w:val="clear" w:color="auto" w:fill="auto"/>
            <w:vAlign w:val="center"/>
          </w:tcPr>
          <w:p w14:paraId="38BE91D7">
            <w:pPr>
              <w:pStyle w:val="15"/>
              <w:jc w:val="both"/>
              <w:rPr>
                <w:rFonts w:hint="eastAsia" w:ascii="仿宋" w:hAnsi="仿宋" w:eastAsia="仿宋" w:cs="仿宋"/>
                <w:sz w:val="32"/>
                <w:szCs w:val="28"/>
              </w:rPr>
            </w:pPr>
            <w:r>
              <w:rPr>
                <w:rFonts w:hint="eastAsia" w:ascii="仿宋" w:hAnsi="仿宋" w:eastAsia="仿宋" w:cs="仿宋"/>
                <w:sz w:val="32"/>
                <w:szCs w:val="28"/>
              </w:rPr>
              <w:t>保护自动装置功能</w:t>
            </w:r>
            <w:r>
              <w:rPr>
                <w:rFonts w:hint="eastAsia" w:ascii="仿宋" w:hAnsi="仿宋" w:eastAsia="仿宋" w:cs="仿宋"/>
                <w:sz w:val="32"/>
                <w:szCs w:val="28"/>
                <w:lang w:eastAsia="zh-CN"/>
              </w:rPr>
              <w:t>不</w:t>
            </w:r>
            <w:r>
              <w:rPr>
                <w:rFonts w:hint="eastAsia" w:ascii="仿宋" w:hAnsi="仿宋" w:eastAsia="仿宋" w:cs="仿宋"/>
                <w:sz w:val="32"/>
                <w:szCs w:val="28"/>
              </w:rPr>
              <w:t>完善，存在质量缺陷</w:t>
            </w:r>
          </w:p>
        </w:tc>
        <w:tc>
          <w:tcPr>
            <w:shd w:val="clear" w:color="auto" w:fill="auto"/>
            <w:vAlign w:val="center"/>
          </w:tcPr>
          <w:p w14:paraId="01EFA6DA">
            <w:pPr>
              <w:pStyle w:val="15"/>
              <w:jc w:val="both"/>
              <w:rPr>
                <w:rFonts w:hint="eastAsia" w:ascii="仿宋" w:hAnsi="仿宋" w:eastAsia="仿宋" w:cs="仿宋"/>
                <w:sz w:val="32"/>
                <w:szCs w:val="28"/>
              </w:rPr>
            </w:pPr>
            <w:r>
              <w:rPr>
                <w:rFonts w:hint="eastAsia" w:ascii="仿宋" w:hAnsi="仿宋" w:eastAsia="仿宋" w:cs="仿宋"/>
                <w:sz w:val="32"/>
                <w:szCs w:val="28"/>
              </w:rPr>
              <w:t>作业空间受限；作业立体交叉；恶劣气象条件；高空或在运行</w:t>
            </w:r>
            <w:r>
              <w:rPr>
                <w:rFonts w:hint="eastAsia" w:ascii="仿宋" w:hAnsi="仿宋" w:eastAsia="仿宋" w:cs="仿宋"/>
                <w:sz w:val="32"/>
                <w:szCs w:val="28"/>
                <w:lang w:eastAsia="zh-CN"/>
              </w:rPr>
              <w:t>设</w:t>
            </w:r>
            <w:r>
              <w:rPr>
                <w:rFonts w:hint="eastAsia" w:ascii="仿宋" w:hAnsi="仿宋" w:eastAsia="仿宋" w:cs="仿宋"/>
                <w:sz w:val="32"/>
                <w:szCs w:val="28"/>
              </w:rPr>
              <w:t>备设施上作业</w:t>
            </w:r>
          </w:p>
        </w:tc>
        <w:tc>
          <w:tcPr>
            <w:shd w:val="clear" w:color="auto" w:fill="auto"/>
            <w:vAlign w:val="center"/>
          </w:tcPr>
          <w:p w14:paraId="7FDD259A">
            <w:pPr>
              <w:pStyle w:val="15"/>
              <w:jc w:val="both"/>
              <w:rPr>
                <w:rFonts w:hint="eastAsia" w:ascii="仿宋" w:hAnsi="仿宋" w:eastAsia="仿宋" w:cs="仿宋"/>
                <w:sz w:val="32"/>
                <w:szCs w:val="28"/>
              </w:rPr>
            </w:pPr>
            <w:r>
              <w:rPr>
                <w:rFonts w:hint="eastAsia" w:ascii="仿宋" w:hAnsi="仿宋" w:eastAsia="仿宋" w:cs="仿宋"/>
                <w:sz w:val="32"/>
                <w:szCs w:val="28"/>
              </w:rPr>
              <w:t>有，但不完善，且只偶尔执行</w:t>
            </w:r>
          </w:p>
        </w:tc>
      </w:tr>
      <w:tr w14:paraId="36365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23" w:hRule="atLeast"/>
          <w:jc w:val="center"/>
        </w:trPr>
        <w:tc>
          <w:tcPr>
            <w:tcW w:w="464" w:type="dxa"/>
            <w:shd w:val="clear" w:color="auto" w:fill="auto"/>
            <w:vAlign w:val="center"/>
          </w:tcPr>
          <w:p w14:paraId="53501352">
            <w:pPr>
              <w:pStyle w:val="15"/>
              <w:jc w:val="both"/>
              <w:rPr>
                <w:rFonts w:hint="eastAsia" w:ascii="仿宋" w:hAnsi="仿宋" w:eastAsia="仿宋" w:cs="仿宋"/>
                <w:sz w:val="32"/>
                <w:szCs w:val="28"/>
              </w:rPr>
            </w:pPr>
            <w:r>
              <w:rPr>
                <w:rFonts w:hint="eastAsia" w:ascii="仿宋" w:hAnsi="仿宋" w:eastAsia="仿宋" w:cs="仿宋"/>
                <w:sz w:val="32"/>
                <w:szCs w:val="28"/>
              </w:rPr>
              <w:t>3</w:t>
            </w:r>
          </w:p>
        </w:tc>
        <w:tc>
          <w:tcPr>
            <w:tcW w:w="1034" w:type="dxa"/>
            <w:shd w:val="clear" w:color="auto" w:fill="auto"/>
            <w:textDirection w:val="tbLrV"/>
            <w:vAlign w:val="center"/>
          </w:tcPr>
          <w:p w14:paraId="58B01A7E">
            <w:pPr>
              <w:pStyle w:val="15"/>
              <w:ind w:left="108" w:leftChars="0" w:right="113" w:firstLine="0" w:firstLineChars="0"/>
              <w:jc w:val="both"/>
              <w:rPr>
                <w:rFonts w:hint="eastAsia" w:ascii="仿宋" w:hAnsi="仿宋" w:eastAsia="仿宋" w:cs="仿宋"/>
                <w:sz w:val="32"/>
                <w:szCs w:val="28"/>
              </w:rPr>
            </w:pPr>
            <w:r>
              <w:rPr>
                <w:rFonts w:hint="eastAsia" w:ascii="仿宋" w:hAnsi="仿宋" w:eastAsia="仿宋" w:cs="仿宋"/>
                <w:sz w:val="32"/>
                <w:szCs w:val="28"/>
              </w:rPr>
              <w:t>本行业一年内发生过</w:t>
            </w:r>
          </w:p>
        </w:tc>
        <w:tc>
          <w:tcPr>
            <w:tcW w:w="1553" w:type="dxa"/>
            <w:shd w:val="clear" w:color="auto" w:fill="auto"/>
            <w:vAlign w:val="center"/>
          </w:tcPr>
          <w:p w14:paraId="7965B7FE">
            <w:pPr>
              <w:pStyle w:val="15"/>
              <w:jc w:val="both"/>
              <w:rPr>
                <w:rFonts w:hint="eastAsia" w:ascii="仿宋" w:hAnsi="仿宋" w:eastAsia="仿宋" w:cs="仿宋"/>
                <w:sz w:val="32"/>
                <w:szCs w:val="28"/>
              </w:rPr>
            </w:pPr>
            <w:r>
              <w:rPr>
                <w:rFonts w:hint="eastAsia" w:ascii="仿宋" w:hAnsi="仿宋" w:eastAsia="仿宋" w:cs="仿宋"/>
                <w:sz w:val="32"/>
                <w:szCs w:val="28"/>
              </w:rPr>
              <w:t>经验不足，多次出现差错</w:t>
            </w:r>
          </w:p>
        </w:tc>
        <w:tc>
          <w:tcPr>
            <w:tcW w:w="1648" w:type="dxa"/>
            <w:shd w:val="clear" w:color="auto" w:fill="auto"/>
            <w:vAlign w:val="center"/>
          </w:tcPr>
          <w:p w14:paraId="18ADF1FD">
            <w:pPr>
              <w:pStyle w:val="15"/>
              <w:jc w:val="both"/>
              <w:rPr>
                <w:rFonts w:hint="eastAsia" w:ascii="仿宋" w:hAnsi="仿宋" w:eastAsia="仿宋" w:cs="仿宋"/>
                <w:sz w:val="32"/>
                <w:szCs w:val="28"/>
              </w:rPr>
            </w:pPr>
            <w:r>
              <w:rPr>
                <w:rFonts w:hint="eastAsia" w:ascii="仿宋" w:hAnsi="仿宋" w:eastAsia="仿宋" w:cs="仿宋"/>
                <w:sz w:val="32"/>
                <w:szCs w:val="28"/>
              </w:rPr>
              <w:t>基本完好，但安全装置不完善</w:t>
            </w:r>
          </w:p>
        </w:tc>
        <w:tc>
          <w:tcPr>
            <w:shd w:val="clear" w:color="auto" w:fill="auto"/>
            <w:vAlign w:val="center"/>
          </w:tcPr>
          <w:p w14:paraId="3763F8FC">
            <w:pPr>
              <w:pStyle w:val="15"/>
              <w:jc w:val="both"/>
              <w:rPr>
                <w:rFonts w:hint="eastAsia" w:ascii="仿宋" w:hAnsi="仿宋" w:eastAsia="仿宋" w:cs="仿宋"/>
                <w:sz w:val="32"/>
                <w:szCs w:val="28"/>
              </w:rPr>
            </w:pPr>
            <w:r>
              <w:rPr>
                <w:rFonts w:hint="eastAsia" w:ascii="仿宋" w:hAnsi="仿宋" w:eastAsia="仿宋" w:cs="仿宋"/>
                <w:sz w:val="32"/>
                <w:szCs w:val="28"/>
              </w:rPr>
              <w:t>通风、光照或温度需要采取措施才能作业；周围有运行设备；立面有同时作业</w:t>
            </w:r>
          </w:p>
        </w:tc>
        <w:tc>
          <w:tcPr>
            <w:shd w:val="clear" w:color="auto" w:fill="auto"/>
            <w:vAlign w:val="center"/>
          </w:tcPr>
          <w:p w14:paraId="517F1108">
            <w:pPr>
              <w:pStyle w:val="15"/>
              <w:jc w:val="both"/>
              <w:rPr>
                <w:rFonts w:hint="eastAsia" w:ascii="仿宋" w:hAnsi="仿宋" w:eastAsia="仿宋" w:cs="仿宋"/>
                <w:sz w:val="32"/>
                <w:szCs w:val="28"/>
              </w:rPr>
            </w:pPr>
            <w:r>
              <w:rPr>
                <w:rFonts w:hint="eastAsia" w:ascii="仿宋" w:hAnsi="仿宋" w:eastAsia="仿宋" w:cs="仿宋"/>
                <w:sz w:val="32"/>
                <w:szCs w:val="28"/>
              </w:rPr>
              <w:t>有，较完善，但只部分执行</w:t>
            </w:r>
          </w:p>
        </w:tc>
      </w:tr>
      <w:tr w14:paraId="2C7BF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3123" w:hRule="atLeast"/>
          <w:jc w:val="center"/>
        </w:trPr>
        <w:tc>
          <w:tcPr>
            <w:tcW w:w="464" w:type="dxa"/>
            <w:shd w:val="clear" w:color="auto" w:fill="auto"/>
            <w:vAlign w:val="center"/>
          </w:tcPr>
          <w:p w14:paraId="4212A1B8">
            <w:pPr>
              <w:pStyle w:val="15"/>
              <w:jc w:val="both"/>
              <w:rPr>
                <w:rFonts w:hint="eastAsia" w:ascii="仿宋" w:hAnsi="仿宋" w:eastAsia="仿宋" w:cs="仿宋"/>
                <w:sz w:val="32"/>
                <w:szCs w:val="28"/>
              </w:rPr>
            </w:pPr>
            <w:r>
              <w:rPr>
                <w:rFonts w:hint="eastAsia" w:ascii="仿宋" w:hAnsi="仿宋" w:eastAsia="仿宋" w:cs="仿宋"/>
                <w:sz w:val="32"/>
                <w:szCs w:val="28"/>
              </w:rPr>
              <w:t>2</w:t>
            </w:r>
          </w:p>
        </w:tc>
        <w:tc>
          <w:tcPr>
            <w:tcW w:w="1034" w:type="dxa"/>
            <w:shd w:val="clear" w:color="auto" w:fill="auto"/>
            <w:textDirection w:val="tbLrV"/>
            <w:vAlign w:val="center"/>
          </w:tcPr>
          <w:p w14:paraId="53CE1EFC">
            <w:pPr>
              <w:pStyle w:val="15"/>
              <w:ind w:left="108" w:leftChars="0" w:right="113" w:firstLine="0" w:firstLineChars="0"/>
              <w:jc w:val="both"/>
              <w:rPr>
                <w:rFonts w:hint="eastAsia" w:ascii="仿宋" w:hAnsi="仿宋" w:eastAsia="仿宋" w:cs="仿宋"/>
                <w:sz w:val="32"/>
                <w:szCs w:val="28"/>
              </w:rPr>
            </w:pPr>
            <w:r>
              <w:rPr>
                <w:rFonts w:hint="eastAsia" w:ascii="仿宋" w:hAnsi="仿宋" w:eastAsia="仿宋" w:cs="仿宋"/>
                <w:sz w:val="32"/>
                <w:szCs w:val="28"/>
              </w:rPr>
              <w:t>全国范围一年内发生过</w:t>
            </w:r>
          </w:p>
        </w:tc>
        <w:tc>
          <w:tcPr>
            <w:tcW w:w="1553" w:type="dxa"/>
            <w:shd w:val="clear" w:color="auto" w:fill="auto"/>
            <w:vAlign w:val="center"/>
          </w:tcPr>
          <w:p w14:paraId="4AD2F8FD">
            <w:pPr>
              <w:pStyle w:val="15"/>
              <w:jc w:val="both"/>
              <w:rPr>
                <w:rFonts w:hint="eastAsia" w:ascii="仿宋" w:hAnsi="仿宋" w:eastAsia="仿宋" w:cs="仿宋"/>
                <w:sz w:val="32"/>
                <w:szCs w:val="28"/>
              </w:rPr>
            </w:pPr>
            <w:r>
              <w:rPr>
                <w:rFonts w:hint="eastAsia" w:ascii="仿宋" w:hAnsi="仿宋" w:eastAsia="仿宋" w:cs="仿宋"/>
                <w:sz w:val="32"/>
                <w:szCs w:val="28"/>
              </w:rPr>
              <w:t>偶尔出现差错</w:t>
            </w:r>
          </w:p>
        </w:tc>
        <w:tc>
          <w:tcPr>
            <w:tcW w:w="1648" w:type="dxa"/>
            <w:shd w:val="clear" w:color="auto" w:fill="auto"/>
            <w:vAlign w:val="center"/>
          </w:tcPr>
          <w:p w14:paraId="742628B0">
            <w:pPr>
              <w:pStyle w:val="15"/>
              <w:jc w:val="both"/>
              <w:rPr>
                <w:rFonts w:hint="eastAsia" w:ascii="仿宋" w:hAnsi="仿宋" w:eastAsia="仿宋" w:cs="仿宋"/>
                <w:sz w:val="32"/>
                <w:szCs w:val="28"/>
              </w:rPr>
            </w:pPr>
            <w:r>
              <w:rPr>
                <w:rFonts w:hint="eastAsia" w:ascii="仿宋" w:hAnsi="仿宋" w:eastAsia="仿宋" w:cs="仿宋"/>
                <w:sz w:val="32"/>
                <w:szCs w:val="28"/>
              </w:rPr>
              <w:t>总体完好，但有缺陷</w:t>
            </w:r>
          </w:p>
        </w:tc>
        <w:tc>
          <w:tcPr>
            <w:shd w:val="clear" w:color="auto" w:fill="auto"/>
            <w:vAlign w:val="center"/>
          </w:tcPr>
          <w:p w14:paraId="7B5B3189">
            <w:pPr>
              <w:pStyle w:val="15"/>
              <w:jc w:val="both"/>
              <w:rPr>
                <w:rFonts w:hint="eastAsia" w:ascii="仿宋" w:hAnsi="仿宋" w:eastAsia="仿宋" w:cs="仿宋"/>
                <w:sz w:val="32"/>
                <w:szCs w:val="28"/>
              </w:rPr>
            </w:pPr>
            <w:r>
              <w:rPr>
                <w:rFonts w:hint="eastAsia" w:ascii="仿宋" w:hAnsi="仿宋" w:eastAsia="仿宋" w:cs="仿宋"/>
                <w:sz w:val="32"/>
                <w:szCs w:val="28"/>
              </w:rPr>
              <w:t>通风、光照或温度不影响作业；系统停运；同一作业面有其它作业</w:t>
            </w:r>
          </w:p>
        </w:tc>
        <w:tc>
          <w:tcPr>
            <w:shd w:val="clear" w:color="auto" w:fill="auto"/>
            <w:vAlign w:val="center"/>
          </w:tcPr>
          <w:p w14:paraId="2AB9B340">
            <w:pPr>
              <w:pStyle w:val="15"/>
              <w:jc w:val="both"/>
              <w:rPr>
                <w:rFonts w:hint="eastAsia" w:ascii="仿宋" w:hAnsi="仿宋" w:eastAsia="仿宋" w:cs="仿宋"/>
                <w:sz w:val="32"/>
                <w:szCs w:val="28"/>
              </w:rPr>
            </w:pPr>
            <w:r>
              <w:rPr>
                <w:rFonts w:hint="eastAsia" w:ascii="仿宋" w:hAnsi="仿宋" w:eastAsia="仿宋" w:cs="仿宋"/>
                <w:sz w:val="32"/>
                <w:szCs w:val="28"/>
              </w:rPr>
              <w:t>有，完善，但偶尔不执行</w:t>
            </w:r>
          </w:p>
        </w:tc>
      </w:tr>
      <w:tr w14:paraId="327AF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1772" w:hRule="atLeast"/>
          <w:jc w:val="center"/>
        </w:trPr>
        <w:tc>
          <w:tcPr>
            <w:tcW w:w="464" w:type="dxa"/>
            <w:shd w:val="clear" w:color="auto" w:fill="auto"/>
            <w:vAlign w:val="center"/>
          </w:tcPr>
          <w:p w14:paraId="55A13419">
            <w:pPr>
              <w:pStyle w:val="15"/>
              <w:jc w:val="both"/>
              <w:rPr>
                <w:rFonts w:hint="eastAsia" w:ascii="仿宋" w:hAnsi="仿宋" w:eastAsia="仿宋" w:cs="仿宋"/>
                <w:sz w:val="32"/>
                <w:szCs w:val="28"/>
              </w:rPr>
            </w:pPr>
            <w:r>
              <w:rPr>
                <w:rFonts w:hint="eastAsia" w:ascii="仿宋" w:hAnsi="仿宋" w:eastAsia="仿宋" w:cs="仿宋"/>
                <w:sz w:val="32"/>
                <w:szCs w:val="28"/>
              </w:rPr>
              <w:t>1</w:t>
            </w:r>
          </w:p>
        </w:tc>
        <w:tc>
          <w:tcPr>
            <w:tcW w:w="1034" w:type="dxa"/>
            <w:shd w:val="clear" w:color="auto" w:fill="auto"/>
            <w:textDirection w:val="tbLrV"/>
            <w:vAlign w:val="center"/>
          </w:tcPr>
          <w:p w14:paraId="32A7C2B9">
            <w:pPr>
              <w:pStyle w:val="15"/>
              <w:ind w:left="108" w:leftChars="0" w:right="113" w:firstLine="0" w:firstLineChars="0"/>
              <w:jc w:val="both"/>
              <w:rPr>
                <w:rFonts w:hint="eastAsia" w:ascii="仿宋" w:hAnsi="仿宋" w:eastAsia="仿宋" w:cs="仿宋"/>
                <w:sz w:val="32"/>
                <w:szCs w:val="28"/>
              </w:rPr>
            </w:pPr>
            <w:r>
              <w:rPr>
                <w:rFonts w:hint="eastAsia" w:ascii="仿宋" w:hAnsi="仿宋" w:eastAsia="仿宋" w:cs="仿宋"/>
                <w:sz w:val="32"/>
                <w:szCs w:val="28"/>
              </w:rPr>
              <w:t>从未发生过</w:t>
            </w:r>
          </w:p>
        </w:tc>
        <w:tc>
          <w:tcPr>
            <w:tcW w:w="1553" w:type="dxa"/>
            <w:shd w:val="clear" w:color="auto" w:fill="auto"/>
            <w:vAlign w:val="center"/>
          </w:tcPr>
          <w:p w14:paraId="66E16009">
            <w:pPr>
              <w:pStyle w:val="15"/>
              <w:jc w:val="both"/>
              <w:rPr>
                <w:rFonts w:hint="eastAsia" w:ascii="仿宋" w:hAnsi="仿宋" w:eastAsia="仿宋" w:cs="仿宋"/>
                <w:sz w:val="32"/>
                <w:szCs w:val="28"/>
              </w:rPr>
            </w:pPr>
            <w:r>
              <w:rPr>
                <w:rFonts w:hint="eastAsia" w:ascii="仿宋" w:hAnsi="仿宋" w:eastAsia="仿宋" w:cs="仿宋"/>
                <w:sz w:val="32"/>
                <w:szCs w:val="28"/>
              </w:rPr>
              <w:t>培训充分，经验丰富，安全意识强</w:t>
            </w:r>
          </w:p>
        </w:tc>
        <w:tc>
          <w:tcPr>
            <w:tcW w:w="1648" w:type="dxa"/>
            <w:shd w:val="clear" w:color="auto" w:fill="auto"/>
            <w:vAlign w:val="center"/>
          </w:tcPr>
          <w:p w14:paraId="7C15F7EB">
            <w:pPr>
              <w:pStyle w:val="15"/>
              <w:jc w:val="both"/>
              <w:rPr>
                <w:rFonts w:hint="eastAsia" w:ascii="仿宋" w:hAnsi="仿宋" w:eastAsia="仿宋" w:cs="仿宋"/>
                <w:sz w:val="32"/>
                <w:szCs w:val="28"/>
              </w:rPr>
            </w:pPr>
            <w:r>
              <w:rPr>
                <w:rFonts w:hint="eastAsia" w:ascii="仿宋" w:hAnsi="仿宋" w:eastAsia="仿宋" w:cs="仿宋"/>
                <w:sz w:val="32"/>
                <w:szCs w:val="28"/>
              </w:rPr>
              <w:t>完好，无缺陷</w:t>
            </w:r>
          </w:p>
        </w:tc>
        <w:tc>
          <w:tcPr>
            <w:shd w:val="clear" w:color="auto" w:fill="auto"/>
            <w:vAlign w:val="center"/>
          </w:tcPr>
          <w:p w14:paraId="04341C53">
            <w:pPr>
              <w:pStyle w:val="15"/>
              <w:jc w:val="both"/>
              <w:rPr>
                <w:rFonts w:hint="eastAsia" w:ascii="仿宋" w:hAnsi="仿宋" w:eastAsia="仿宋" w:cs="仿宋"/>
                <w:sz w:val="32"/>
                <w:szCs w:val="28"/>
              </w:rPr>
            </w:pPr>
            <w:r>
              <w:rPr>
                <w:rFonts w:hint="eastAsia" w:ascii="仿宋" w:hAnsi="仿宋" w:eastAsia="仿宋" w:cs="仿宋"/>
                <w:sz w:val="32"/>
                <w:szCs w:val="28"/>
              </w:rPr>
              <w:t>通风、光照良好，温度适宜；系统停运且周围无运行设备</w:t>
            </w:r>
          </w:p>
        </w:tc>
        <w:tc>
          <w:tcPr>
            <w:shd w:val="clear" w:color="auto" w:fill="auto"/>
            <w:vAlign w:val="center"/>
          </w:tcPr>
          <w:p w14:paraId="0E879075">
            <w:pPr>
              <w:pStyle w:val="15"/>
              <w:jc w:val="both"/>
              <w:rPr>
                <w:rFonts w:hint="eastAsia" w:ascii="仿宋" w:hAnsi="仿宋" w:eastAsia="仿宋" w:cs="仿宋"/>
                <w:sz w:val="32"/>
                <w:szCs w:val="28"/>
              </w:rPr>
            </w:pPr>
            <w:r>
              <w:rPr>
                <w:rFonts w:hint="eastAsia" w:ascii="仿宋" w:hAnsi="仿宋" w:eastAsia="仿宋" w:cs="仿宋"/>
                <w:sz w:val="32"/>
                <w:szCs w:val="28"/>
              </w:rPr>
              <w:t>有，完善，严格执行</w:t>
            </w:r>
          </w:p>
        </w:tc>
      </w:tr>
    </w:tbl>
    <w:p w14:paraId="5085A6E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注：当缺少基础资料或者无法取得充分可靠的数据或者分析数据不具有成本效益性时，取值可参照类似性质、规模企业的业内平均水平。</w:t>
      </w:r>
    </w:p>
    <w:p w14:paraId="433244C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3.风险事件后果严重程度（S）取值</w:t>
      </w:r>
    </w:p>
    <w:p w14:paraId="6D81022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从人员伤亡、经济损失二个维度对风险事件后果严重程度进行评价取值，以最大值作为最终S值，即满足若干条件之一时就取对应的S值，而无需满足所有条件。</w:t>
      </w:r>
    </w:p>
    <w:p w14:paraId="7B796E4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eastAsia="zh-CN"/>
        </w:rPr>
      </w:pPr>
    </w:p>
    <w:p w14:paraId="082126F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风险事件后果严重程度（S）参考取值表</w:t>
      </w:r>
    </w:p>
    <w:tbl>
      <w:tblPr>
        <w:tblStyle w:val="16"/>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376"/>
        <w:gridCol w:w="3429"/>
        <w:gridCol w:w="4974"/>
      </w:tblGrid>
      <w:tr w14:paraId="66D9C0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77B973D3">
            <w:pPr>
              <w:pStyle w:val="15"/>
              <w:jc w:val="both"/>
              <w:rPr>
                <w:rFonts w:hint="eastAsia" w:ascii="仿宋" w:hAnsi="仿宋" w:eastAsia="仿宋" w:cs="仿宋"/>
                <w:sz w:val="32"/>
                <w:szCs w:val="28"/>
              </w:rPr>
            </w:pPr>
            <w:r>
              <w:rPr>
                <w:rFonts w:hint="eastAsia" w:ascii="仿宋" w:hAnsi="仿宋" w:eastAsia="仿宋" w:cs="仿宋"/>
                <w:sz w:val="32"/>
                <w:szCs w:val="28"/>
              </w:rPr>
              <w:t>S</w:t>
            </w:r>
          </w:p>
        </w:tc>
        <w:tc>
          <w:tcPr>
            <w:shd w:val="clear" w:color="auto" w:fill="auto"/>
            <w:vAlign w:val="center"/>
          </w:tcPr>
          <w:p w14:paraId="3E0C02AA">
            <w:pPr>
              <w:pStyle w:val="15"/>
              <w:jc w:val="both"/>
              <w:rPr>
                <w:rFonts w:hint="eastAsia" w:ascii="仿宋" w:hAnsi="仿宋" w:eastAsia="仿宋" w:cs="仿宋"/>
                <w:sz w:val="32"/>
                <w:szCs w:val="28"/>
              </w:rPr>
            </w:pPr>
            <w:r>
              <w:rPr>
                <w:rFonts w:hint="eastAsia" w:ascii="仿宋" w:hAnsi="仿宋" w:eastAsia="仿宋" w:cs="仿宋"/>
                <w:sz w:val="32"/>
                <w:szCs w:val="28"/>
              </w:rPr>
              <w:t>可能造成的人身伤害</w:t>
            </w:r>
          </w:p>
        </w:tc>
        <w:tc>
          <w:tcPr>
            <w:shd w:val="clear" w:color="auto" w:fill="auto"/>
            <w:vAlign w:val="center"/>
          </w:tcPr>
          <w:p w14:paraId="1AE592CC">
            <w:pPr>
              <w:pStyle w:val="15"/>
              <w:jc w:val="both"/>
              <w:rPr>
                <w:rFonts w:hint="eastAsia" w:ascii="仿宋" w:hAnsi="仿宋" w:eastAsia="仿宋" w:cs="仿宋"/>
                <w:sz w:val="32"/>
                <w:szCs w:val="28"/>
              </w:rPr>
            </w:pPr>
            <w:r>
              <w:rPr>
                <w:rFonts w:hint="eastAsia" w:ascii="仿宋" w:hAnsi="仿宋" w:eastAsia="仿宋" w:cs="仿宋"/>
                <w:sz w:val="32"/>
                <w:szCs w:val="28"/>
              </w:rPr>
              <w:t>可能造成的财产损失、设备设施损坏</w:t>
            </w:r>
          </w:p>
        </w:tc>
      </w:tr>
      <w:tr w14:paraId="1EDBD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6AFB045B">
            <w:pPr>
              <w:pStyle w:val="15"/>
              <w:jc w:val="both"/>
              <w:rPr>
                <w:rFonts w:hint="eastAsia" w:ascii="仿宋" w:hAnsi="仿宋" w:eastAsia="仿宋" w:cs="仿宋"/>
                <w:sz w:val="32"/>
                <w:szCs w:val="28"/>
              </w:rPr>
            </w:pPr>
            <w:r>
              <w:rPr>
                <w:rFonts w:hint="eastAsia" w:ascii="仿宋" w:hAnsi="仿宋" w:eastAsia="仿宋" w:cs="仿宋"/>
                <w:sz w:val="32"/>
                <w:szCs w:val="28"/>
              </w:rPr>
              <w:t>5</w:t>
            </w:r>
          </w:p>
        </w:tc>
        <w:tc>
          <w:tcPr>
            <w:shd w:val="clear" w:color="auto" w:fill="auto"/>
            <w:vAlign w:val="center"/>
          </w:tcPr>
          <w:p w14:paraId="432E2E51">
            <w:pPr>
              <w:pStyle w:val="15"/>
              <w:jc w:val="both"/>
              <w:rPr>
                <w:rFonts w:hint="eastAsia" w:ascii="仿宋" w:hAnsi="仿宋" w:eastAsia="仿宋" w:cs="仿宋"/>
                <w:sz w:val="32"/>
                <w:szCs w:val="28"/>
              </w:rPr>
            </w:pPr>
            <w:r>
              <w:rPr>
                <w:rFonts w:hint="eastAsia" w:ascii="仿宋" w:hAnsi="仿宋" w:eastAsia="仿宋" w:cs="仿宋"/>
                <w:sz w:val="32"/>
                <w:szCs w:val="28"/>
              </w:rPr>
              <w:t>3人及以上死亡或7人及以上重伤</w:t>
            </w:r>
          </w:p>
        </w:tc>
        <w:tc>
          <w:tcPr>
            <w:shd w:val="clear" w:color="auto" w:fill="auto"/>
            <w:vAlign w:val="center"/>
          </w:tcPr>
          <w:p w14:paraId="1BFB309F">
            <w:pPr>
              <w:pStyle w:val="15"/>
              <w:jc w:val="both"/>
              <w:rPr>
                <w:rFonts w:hint="eastAsia" w:ascii="仿宋" w:hAnsi="仿宋" w:eastAsia="仿宋" w:cs="仿宋"/>
                <w:sz w:val="32"/>
                <w:szCs w:val="28"/>
              </w:rPr>
            </w:pPr>
            <w:r>
              <w:rPr>
                <w:rFonts w:hint="eastAsia" w:ascii="仿宋" w:hAnsi="仿宋" w:eastAsia="仿宋" w:cs="仿宋"/>
                <w:sz w:val="32"/>
                <w:szCs w:val="28"/>
              </w:rPr>
              <w:t>直接经济损失在1000万元及以上</w:t>
            </w:r>
          </w:p>
        </w:tc>
      </w:tr>
      <w:tr w14:paraId="5CDD65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16BAF9C2">
            <w:pPr>
              <w:pStyle w:val="15"/>
              <w:jc w:val="both"/>
              <w:rPr>
                <w:rFonts w:hint="eastAsia" w:ascii="仿宋" w:hAnsi="仿宋" w:eastAsia="仿宋" w:cs="仿宋"/>
                <w:sz w:val="32"/>
                <w:szCs w:val="28"/>
              </w:rPr>
            </w:pPr>
            <w:r>
              <w:rPr>
                <w:rFonts w:hint="eastAsia" w:ascii="仿宋" w:hAnsi="仿宋" w:eastAsia="仿宋" w:cs="仿宋"/>
                <w:sz w:val="32"/>
                <w:szCs w:val="28"/>
              </w:rPr>
              <w:t>4</w:t>
            </w:r>
          </w:p>
        </w:tc>
        <w:tc>
          <w:tcPr>
            <w:shd w:val="clear" w:color="auto" w:fill="auto"/>
            <w:vAlign w:val="center"/>
          </w:tcPr>
          <w:p w14:paraId="40B647E5">
            <w:pPr>
              <w:pStyle w:val="15"/>
              <w:jc w:val="both"/>
              <w:rPr>
                <w:rFonts w:hint="eastAsia" w:ascii="仿宋" w:hAnsi="仿宋" w:eastAsia="仿宋" w:cs="仿宋"/>
                <w:sz w:val="32"/>
                <w:szCs w:val="28"/>
              </w:rPr>
            </w:pPr>
            <w:r>
              <w:rPr>
                <w:rFonts w:hint="eastAsia" w:ascii="仿宋" w:hAnsi="仿宋" w:eastAsia="仿宋" w:cs="仿宋"/>
                <w:sz w:val="32"/>
                <w:szCs w:val="28"/>
              </w:rPr>
              <w:t>1-2人死亡或3-6人重伤</w:t>
            </w:r>
          </w:p>
        </w:tc>
        <w:tc>
          <w:tcPr>
            <w:shd w:val="clear" w:color="auto" w:fill="auto"/>
            <w:vAlign w:val="center"/>
          </w:tcPr>
          <w:p w14:paraId="0405994B">
            <w:pPr>
              <w:pStyle w:val="15"/>
              <w:jc w:val="both"/>
              <w:rPr>
                <w:rFonts w:hint="eastAsia" w:ascii="仿宋" w:hAnsi="仿宋" w:eastAsia="仿宋" w:cs="仿宋"/>
                <w:sz w:val="32"/>
                <w:szCs w:val="28"/>
              </w:rPr>
            </w:pPr>
            <w:r>
              <w:rPr>
                <w:rFonts w:hint="eastAsia" w:ascii="仿宋" w:hAnsi="仿宋" w:eastAsia="仿宋" w:cs="仿宋"/>
                <w:sz w:val="32"/>
                <w:szCs w:val="28"/>
              </w:rPr>
              <w:t>直接经济损失在100万元及以上，1000万元以下</w:t>
            </w:r>
          </w:p>
        </w:tc>
      </w:tr>
      <w:tr w14:paraId="404E7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47408DF3">
            <w:pPr>
              <w:pStyle w:val="15"/>
              <w:jc w:val="both"/>
              <w:rPr>
                <w:rFonts w:hint="eastAsia" w:ascii="仿宋" w:hAnsi="仿宋" w:eastAsia="仿宋" w:cs="仿宋"/>
                <w:sz w:val="32"/>
                <w:szCs w:val="28"/>
              </w:rPr>
            </w:pPr>
            <w:r>
              <w:rPr>
                <w:rFonts w:hint="eastAsia" w:ascii="仿宋" w:hAnsi="仿宋" w:eastAsia="仿宋" w:cs="仿宋"/>
                <w:sz w:val="32"/>
                <w:szCs w:val="28"/>
              </w:rPr>
              <w:t>3</w:t>
            </w:r>
          </w:p>
        </w:tc>
        <w:tc>
          <w:tcPr>
            <w:shd w:val="clear" w:color="auto" w:fill="auto"/>
            <w:vAlign w:val="center"/>
          </w:tcPr>
          <w:p w14:paraId="23C720D2">
            <w:pPr>
              <w:pStyle w:val="15"/>
              <w:jc w:val="both"/>
              <w:rPr>
                <w:rFonts w:hint="eastAsia" w:ascii="仿宋" w:hAnsi="仿宋" w:eastAsia="仿宋" w:cs="仿宋"/>
                <w:sz w:val="32"/>
                <w:szCs w:val="28"/>
              </w:rPr>
            </w:pPr>
            <w:r>
              <w:rPr>
                <w:rFonts w:hint="eastAsia" w:ascii="仿宋" w:hAnsi="仿宋" w:eastAsia="仿宋" w:cs="仿宋"/>
                <w:sz w:val="32"/>
                <w:szCs w:val="28"/>
              </w:rPr>
              <w:t>造成1至2人重伤或3至6人轻伤</w:t>
            </w:r>
          </w:p>
        </w:tc>
        <w:tc>
          <w:tcPr>
            <w:shd w:val="clear" w:color="auto" w:fill="auto"/>
            <w:vAlign w:val="center"/>
          </w:tcPr>
          <w:p w14:paraId="3F50B485">
            <w:pPr>
              <w:pStyle w:val="15"/>
              <w:jc w:val="both"/>
              <w:rPr>
                <w:rFonts w:hint="eastAsia" w:ascii="仿宋" w:hAnsi="仿宋" w:eastAsia="仿宋" w:cs="仿宋"/>
                <w:sz w:val="32"/>
                <w:szCs w:val="28"/>
              </w:rPr>
            </w:pPr>
            <w:r>
              <w:rPr>
                <w:rFonts w:hint="eastAsia" w:ascii="仿宋" w:hAnsi="仿宋" w:eastAsia="仿宋" w:cs="仿宋"/>
                <w:sz w:val="32"/>
                <w:szCs w:val="28"/>
              </w:rPr>
              <w:t>直接经济损失在10万元及以上，100万元以下</w:t>
            </w:r>
          </w:p>
        </w:tc>
      </w:tr>
      <w:tr w14:paraId="2FE69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395E396D">
            <w:pPr>
              <w:pStyle w:val="15"/>
              <w:jc w:val="both"/>
              <w:rPr>
                <w:rFonts w:hint="eastAsia" w:ascii="仿宋" w:hAnsi="仿宋" w:eastAsia="仿宋" w:cs="仿宋"/>
                <w:sz w:val="32"/>
                <w:szCs w:val="28"/>
              </w:rPr>
            </w:pPr>
            <w:r>
              <w:rPr>
                <w:rFonts w:hint="eastAsia" w:ascii="仿宋" w:hAnsi="仿宋" w:eastAsia="仿宋" w:cs="仿宋"/>
                <w:sz w:val="32"/>
                <w:szCs w:val="28"/>
              </w:rPr>
              <w:t>2</w:t>
            </w:r>
          </w:p>
        </w:tc>
        <w:tc>
          <w:tcPr>
            <w:shd w:val="clear" w:color="auto" w:fill="auto"/>
            <w:vAlign w:val="center"/>
          </w:tcPr>
          <w:p w14:paraId="7E5E44F1">
            <w:pPr>
              <w:pStyle w:val="15"/>
              <w:jc w:val="both"/>
              <w:rPr>
                <w:rFonts w:hint="eastAsia" w:ascii="仿宋" w:hAnsi="仿宋" w:eastAsia="仿宋" w:cs="仿宋"/>
                <w:sz w:val="32"/>
                <w:szCs w:val="28"/>
              </w:rPr>
            </w:pPr>
            <w:r>
              <w:rPr>
                <w:rFonts w:hint="eastAsia" w:ascii="仿宋" w:hAnsi="仿宋" w:eastAsia="仿宋" w:cs="仿宋"/>
                <w:sz w:val="32"/>
                <w:szCs w:val="28"/>
              </w:rPr>
              <w:t>1至2人轻伤</w:t>
            </w:r>
          </w:p>
        </w:tc>
        <w:tc>
          <w:tcPr>
            <w:shd w:val="clear" w:color="auto" w:fill="auto"/>
            <w:vAlign w:val="center"/>
          </w:tcPr>
          <w:p w14:paraId="4F532863">
            <w:pPr>
              <w:pStyle w:val="15"/>
              <w:jc w:val="both"/>
              <w:rPr>
                <w:rFonts w:hint="eastAsia" w:ascii="仿宋" w:hAnsi="仿宋" w:eastAsia="仿宋" w:cs="仿宋"/>
                <w:sz w:val="32"/>
                <w:szCs w:val="28"/>
              </w:rPr>
            </w:pPr>
            <w:r>
              <w:rPr>
                <w:rFonts w:hint="eastAsia" w:ascii="仿宋" w:hAnsi="仿宋" w:eastAsia="仿宋" w:cs="仿宋"/>
                <w:sz w:val="32"/>
                <w:szCs w:val="28"/>
              </w:rPr>
              <w:t>直接经济损失一万元及以上，10万元以下</w:t>
            </w:r>
          </w:p>
        </w:tc>
      </w:tr>
      <w:tr w14:paraId="0390E8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98" w:hRule="atLeast"/>
          <w:jc w:val="center"/>
        </w:trPr>
        <w:tc>
          <w:tcPr>
            <w:shd w:val="clear" w:color="auto" w:fill="auto"/>
            <w:vAlign w:val="center"/>
          </w:tcPr>
          <w:p w14:paraId="51CF7802">
            <w:pPr>
              <w:pStyle w:val="15"/>
              <w:jc w:val="both"/>
              <w:rPr>
                <w:rFonts w:hint="eastAsia" w:ascii="仿宋" w:hAnsi="仿宋" w:eastAsia="仿宋" w:cs="仿宋"/>
                <w:sz w:val="32"/>
                <w:szCs w:val="28"/>
              </w:rPr>
            </w:pPr>
            <w:r>
              <w:rPr>
                <w:rFonts w:hint="eastAsia" w:ascii="仿宋" w:hAnsi="仿宋" w:eastAsia="仿宋" w:cs="仿宋"/>
                <w:sz w:val="32"/>
                <w:szCs w:val="28"/>
              </w:rPr>
              <w:t>1</w:t>
            </w:r>
          </w:p>
        </w:tc>
        <w:tc>
          <w:tcPr>
            <w:shd w:val="clear" w:color="auto" w:fill="auto"/>
            <w:vAlign w:val="center"/>
          </w:tcPr>
          <w:p w14:paraId="7C7E0B97">
            <w:pPr>
              <w:pStyle w:val="15"/>
              <w:jc w:val="both"/>
              <w:rPr>
                <w:rFonts w:hint="eastAsia" w:ascii="仿宋" w:hAnsi="仿宋" w:eastAsia="仿宋" w:cs="仿宋"/>
                <w:sz w:val="32"/>
                <w:szCs w:val="28"/>
              </w:rPr>
            </w:pPr>
            <w:r>
              <w:rPr>
                <w:rFonts w:hint="eastAsia" w:ascii="仿宋" w:hAnsi="仿宋" w:eastAsia="仿宋" w:cs="仿宋"/>
                <w:sz w:val="32"/>
                <w:szCs w:val="28"/>
              </w:rPr>
              <w:t>1至2人轻微伤</w:t>
            </w:r>
          </w:p>
        </w:tc>
        <w:tc>
          <w:tcPr>
            <w:shd w:val="clear" w:color="auto" w:fill="auto"/>
            <w:vAlign w:val="center"/>
          </w:tcPr>
          <w:p w14:paraId="71EA2AEE">
            <w:pPr>
              <w:pStyle w:val="15"/>
              <w:jc w:val="both"/>
              <w:rPr>
                <w:rFonts w:hint="eastAsia" w:ascii="仿宋" w:hAnsi="仿宋" w:eastAsia="仿宋" w:cs="仿宋"/>
                <w:sz w:val="32"/>
                <w:szCs w:val="28"/>
              </w:rPr>
            </w:pPr>
            <w:r>
              <w:rPr>
                <w:rFonts w:hint="eastAsia" w:ascii="仿宋" w:hAnsi="仿宋" w:eastAsia="仿宋" w:cs="仿宋"/>
                <w:sz w:val="32"/>
                <w:szCs w:val="28"/>
              </w:rPr>
              <w:t>直接经济损失在1万元以下</w:t>
            </w:r>
          </w:p>
        </w:tc>
      </w:tr>
    </w:tbl>
    <w:p w14:paraId="5FF6289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p>
    <w:p w14:paraId="0DE4DFF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4.风险评价</w:t>
      </w:r>
    </w:p>
    <w:p w14:paraId="16BC34F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风险评价是根据风险分析的结果，确定风险等级。</w:t>
      </w:r>
    </w:p>
    <w:p w14:paraId="0D09FFA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4.1风险值（R）</w:t>
      </w:r>
    </w:p>
    <w:p w14:paraId="18EE1D5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根据公式R=L×S计算出风险的风险值（R），并取最大值作为该风险的最终风险值（R）。</w:t>
      </w:r>
    </w:p>
    <w:p w14:paraId="76159EC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28"/>
          <w:szCs w:val="28"/>
        </w:rPr>
      </w:pPr>
    </w:p>
    <w:p w14:paraId="24AC68A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风险矩阵（R）</w:t>
      </w:r>
    </w:p>
    <w:p w14:paraId="59FAF9C7">
      <w:pPr>
        <w:pStyle w:val="5"/>
        <w:ind w:left="0" w:leftChars="0" w:firstLine="0" w:firstLineChars="0"/>
        <w:jc w:val="center"/>
      </w:pPr>
      <w:r>
        <w:drawing>
          <wp:inline distT="0" distB="0" distL="114300" distR="114300">
            <wp:extent cx="5201920" cy="2435225"/>
            <wp:effectExtent l="0" t="0" r="10160" b="317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pic:cNvPicPr>
                      <a:picLocks noChangeAspect="1" noChangeArrowheads="1"/>
                    </pic:cNvPicPr>
                  </pic:nvPicPr>
                  <pic:blipFill>
                    <a:blip r:embed="rId9"/>
                    <a:stretch>
                      <a:fillRect/>
                    </a:stretch>
                  </pic:blipFill>
                  <pic:spPr>
                    <a:xfrm>
                      <a:off x="0" y="0"/>
                      <a:ext cx="5201920" cy="2435225"/>
                    </a:xfrm>
                    <a:prstGeom prst="rect">
                      <a:avLst/>
                    </a:prstGeom>
                    <a:noFill/>
                    <a:ln w="9525">
                      <a:noFill/>
                    </a:ln>
                  </pic:spPr>
                </pic:pic>
              </a:graphicData>
            </a:graphic>
          </wp:inline>
        </w:drawing>
      </w:r>
    </w:p>
    <w:p w14:paraId="6C279AB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4.2风险等级</w:t>
      </w:r>
    </w:p>
    <w:p w14:paraId="206BA1B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根据风险值（R）的大小，将风险由高到低分为重大风险、较大风险、一般风险和低风险四个等级。</w:t>
      </w:r>
    </w:p>
    <w:p w14:paraId="7C277AB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p>
    <w:p w14:paraId="73D12F1A">
      <w:pPr>
        <w:pStyle w:val="5"/>
        <w:ind w:left="0" w:leftChars="0" w:firstLine="0" w:firstLineChars="0"/>
        <w:jc w:val="center"/>
      </w:pPr>
      <w:r>
        <w:drawing>
          <wp:inline distT="0" distB="0" distL="114300" distR="114300">
            <wp:extent cx="5735320" cy="2129155"/>
            <wp:effectExtent l="0" t="0" r="10160" b="4445"/>
            <wp:docPr id="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pic:cNvPicPr>
                      <a:picLocks noChangeAspect="1" noChangeArrowheads="1"/>
                    </pic:cNvPicPr>
                  </pic:nvPicPr>
                  <pic:blipFill>
                    <a:blip r:embed="rId10"/>
                    <a:stretch>
                      <a:fillRect/>
                    </a:stretch>
                  </pic:blipFill>
                  <pic:spPr>
                    <a:xfrm>
                      <a:off x="0" y="0"/>
                      <a:ext cx="5735320" cy="2129155"/>
                    </a:xfrm>
                    <a:prstGeom prst="rect">
                      <a:avLst/>
                    </a:prstGeom>
                    <a:noFill/>
                    <a:ln w="9525">
                      <a:noFill/>
                    </a:ln>
                  </pic:spPr>
                </pic:pic>
              </a:graphicData>
            </a:graphic>
          </wp:inline>
        </w:drawing>
      </w:r>
    </w:p>
    <w:p w14:paraId="563438D8">
      <w:pPr>
        <w:pStyle w:val="5"/>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z w:val="32"/>
          <w:szCs w:val="32"/>
        </w:rPr>
      </w:pPr>
    </w:p>
    <w:p w14:paraId="0CFEE02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LEC法安全风险评价判定准则</w:t>
      </w:r>
    </w:p>
    <w:p w14:paraId="1DE66F5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表1</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可能性（L）基准值</w:t>
      </w:r>
    </w:p>
    <w:tbl>
      <w:tblPr>
        <w:tblStyle w:val="16"/>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85"/>
        <w:gridCol w:w="4859"/>
        <w:gridCol w:w="2465"/>
        <w:gridCol w:w="770"/>
      </w:tblGrid>
      <w:tr w14:paraId="7D3AD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87" w:hRule="atLeast"/>
          <w:jc w:val="center"/>
        </w:trPr>
        <w:tc>
          <w:tcPr>
            <w:vMerge w:val="restart"/>
            <w:shd w:val="clear" w:color="auto" w:fill="auto"/>
            <w:vAlign w:val="center"/>
          </w:tcPr>
          <w:p w14:paraId="509A4215">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gridSpan w:val="2"/>
            <w:shd w:val="clear" w:color="auto" w:fill="auto"/>
            <w:vAlign w:val="center"/>
          </w:tcPr>
          <w:p w14:paraId="5990F25F">
            <w:pPr>
              <w:pStyle w:val="15"/>
              <w:jc w:val="center"/>
              <w:rPr>
                <w:rFonts w:hint="eastAsia" w:ascii="仿宋" w:hAnsi="仿宋" w:eastAsia="仿宋" w:cs="仿宋"/>
                <w:sz w:val="32"/>
                <w:szCs w:val="32"/>
              </w:rPr>
            </w:pPr>
            <w:r>
              <w:rPr>
                <w:rFonts w:hint="eastAsia" w:ascii="仿宋" w:hAnsi="仿宋" w:eastAsia="仿宋" w:cs="仿宋"/>
                <w:b/>
                <w:bCs/>
                <w:sz w:val="32"/>
                <w:szCs w:val="32"/>
              </w:rPr>
              <w:t>事故发生的可能性</w:t>
            </w:r>
          </w:p>
        </w:tc>
        <w:tc>
          <w:tcPr>
            <w:vMerge w:val="restart"/>
            <w:shd w:val="clear" w:color="auto" w:fill="auto"/>
            <w:vAlign w:val="center"/>
          </w:tcPr>
          <w:p w14:paraId="0921F3C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分值</w:t>
            </w:r>
          </w:p>
        </w:tc>
      </w:tr>
      <w:tr w14:paraId="6A1831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vMerge w:val="continue"/>
            <w:shd w:val="clear" w:color="auto" w:fill="auto"/>
            <w:vAlign w:val="center"/>
          </w:tcPr>
          <w:p w14:paraId="0EF28CE7">
            <w:pPr>
              <w:rPr>
                <w:rFonts w:hint="eastAsia" w:ascii="仿宋" w:hAnsi="仿宋" w:eastAsia="仿宋" w:cs="仿宋"/>
                <w:sz w:val="32"/>
                <w:szCs w:val="32"/>
                <w:lang w:eastAsia="zh-CN"/>
              </w:rPr>
            </w:pPr>
          </w:p>
        </w:tc>
        <w:tc>
          <w:tcPr>
            <w:shd w:val="clear" w:color="auto" w:fill="auto"/>
            <w:vAlign w:val="center"/>
          </w:tcPr>
          <w:p w14:paraId="60F15BE0">
            <w:pPr>
              <w:pStyle w:val="15"/>
              <w:jc w:val="left"/>
              <w:rPr>
                <w:rFonts w:hint="eastAsia" w:ascii="仿宋" w:hAnsi="仿宋" w:eastAsia="仿宋" w:cs="仿宋"/>
                <w:sz w:val="32"/>
                <w:szCs w:val="32"/>
              </w:rPr>
            </w:pPr>
            <w:r>
              <w:rPr>
                <w:rFonts w:hint="eastAsia" w:ascii="仿宋" w:hAnsi="仿宋" w:eastAsia="仿宋" w:cs="仿宋"/>
                <w:b/>
                <w:bCs/>
                <w:sz w:val="32"/>
                <w:szCs w:val="32"/>
              </w:rPr>
              <w:t>人员伤亡、火灾、设备损坏、生产中断、环境污染</w:t>
            </w:r>
          </w:p>
        </w:tc>
        <w:tc>
          <w:tcPr>
            <w:shd w:val="clear" w:color="auto" w:fill="auto"/>
            <w:vAlign w:val="center"/>
          </w:tcPr>
          <w:p w14:paraId="4A5ED2BD">
            <w:pPr>
              <w:pStyle w:val="15"/>
              <w:jc w:val="center"/>
              <w:rPr>
                <w:rFonts w:hint="eastAsia" w:ascii="仿宋" w:hAnsi="仿宋" w:eastAsia="仿宋" w:cs="仿宋"/>
                <w:sz w:val="32"/>
                <w:szCs w:val="32"/>
              </w:rPr>
            </w:pPr>
            <w:r>
              <w:rPr>
                <w:rFonts w:hint="eastAsia" w:ascii="仿宋" w:hAnsi="仿宋" w:eastAsia="仿宋" w:cs="仿宋"/>
                <w:b/>
                <w:bCs/>
                <w:sz w:val="32"/>
                <w:szCs w:val="32"/>
              </w:rPr>
              <w:t>职业健康损害</w:t>
            </w:r>
          </w:p>
        </w:tc>
        <w:tc>
          <w:tcPr>
            <w:vMerge w:val="continue"/>
            <w:shd w:val="clear" w:color="auto" w:fill="auto"/>
            <w:vAlign w:val="center"/>
          </w:tcPr>
          <w:p w14:paraId="2B86CB69">
            <w:pPr>
              <w:rPr>
                <w:rFonts w:hint="eastAsia" w:ascii="仿宋" w:hAnsi="仿宋" w:eastAsia="仿宋" w:cs="仿宋"/>
                <w:sz w:val="32"/>
                <w:szCs w:val="32"/>
                <w:lang w:eastAsia="zh-CN"/>
              </w:rPr>
            </w:pPr>
          </w:p>
        </w:tc>
      </w:tr>
      <w:tr w14:paraId="57C57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7D383C6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c>
          <w:tcPr>
            <w:shd w:val="clear" w:color="auto" w:fill="auto"/>
            <w:vAlign w:val="center"/>
          </w:tcPr>
          <w:p w14:paraId="15C88C7E">
            <w:pPr>
              <w:pStyle w:val="15"/>
              <w:rPr>
                <w:rFonts w:hint="eastAsia" w:ascii="仿宋" w:hAnsi="仿宋" w:eastAsia="仿宋" w:cs="仿宋"/>
                <w:sz w:val="32"/>
                <w:szCs w:val="32"/>
              </w:rPr>
            </w:pPr>
            <w:r>
              <w:rPr>
                <w:rFonts w:hint="eastAsia" w:ascii="仿宋" w:hAnsi="仿宋" w:eastAsia="仿宋" w:cs="仿宋"/>
                <w:sz w:val="32"/>
                <w:szCs w:val="32"/>
              </w:rPr>
              <w:t>如果危害事件发生，即产生最可能和预期的结果（100%）</w:t>
            </w:r>
          </w:p>
        </w:tc>
        <w:tc>
          <w:tcPr>
            <w:shd w:val="clear" w:color="auto" w:fill="auto"/>
            <w:vAlign w:val="center"/>
          </w:tcPr>
          <w:p w14:paraId="13E5BF54">
            <w:pPr>
              <w:pStyle w:val="15"/>
              <w:rPr>
                <w:rFonts w:hint="eastAsia" w:ascii="仿宋" w:hAnsi="仿宋" w:eastAsia="仿宋" w:cs="仿宋"/>
                <w:sz w:val="32"/>
                <w:szCs w:val="32"/>
              </w:rPr>
            </w:pPr>
            <w:r>
              <w:rPr>
                <w:rFonts w:hint="eastAsia" w:ascii="仿宋" w:hAnsi="仿宋" w:eastAsia="仿宋" w:cs="仿宋"/>
                <w:sz w:val="32"/>
                <w:szCs w:val="32"/>
              </w:rPr>
              <w:t>频繁：平均每6个月发生一次</w:t>
            </w:r>
          </w:p>
        </w:tc>
        <w:tc>
          <w:tcPr>
            <w:shd w:val="clear" w:color="auto" w:fill="auto"/>
            <w:vAlign w:val="center"/>
          </w:tcPr>
          <w:p w14:paraId="1A8B1AA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10</w:t>
            </w:r>
          </w:p>
        </w:tc>
      </w:tr>
      <w:tr w14:paraId="273F7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0A18268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c>
          <w:tcPr>
            <w:shd w:val="clear" w:color="auto" w:fill="auto"/>
            <w:vAlign w:val="center"/>
          </w:tcPr>
          <w:p w14:paraId="799023D9">
            <w:pPr>
              <w:pStyle w:val="15"/>
              <w:rPr>
                <w:rFonts w:hint="eastAsia" w:ascii="仿宋" w:hAnsi="仿宋" w:eastAsia="仿宋" w:cs="仿宋"/>
                <w:sz w:val="32"/>
                <w:szCs w:val="32"/>
              </w:rPr>
            </w:pPr>
            <w:r>
              <w:rPr>
                <w:rFonts w:hint="eastAsia" w:ascii="仿宋" w:hAnsi="仿宋" w:eastAsia="仿宋" w:cs="仿宋"/>
                <w:sz w:val="32"/>
                <w:szCs w:val="32"/>
              </w:rPr>
              <w:t>十分可能（50%）</w:t>
            </w:r>
          </w:p>
        </w:tc>
        <w:tc>
          <w:tcPr>
            <w:shd w:val="clear" w:color="auto" w:fill="auto"/>
            <w:vAlign w:val="center"/>
          </w:tcPr>
          <w:p w14:paraId="17AAC251">
            <w:pPr>
              <w:pStyle w:val="15"/>
              <w:rPr>
                <w:rFonts w:hint="eastAsia" w:ascii="仿宋" w:hAnsi="仿宋" w:eastAsia="仿宋" w:cs="仿宋"/>
                <w:sz w:val="32"/>
                <w:szCs w:val="32"/>
              </w:rPr>
            </w:pPr>
            <w:r>
              <w:rPr>
                <w:rFonts w:hint="eastAsia" w:ascii="仿宋" w:hAnsi="仿宋" w:eastAsia="仿宋" w:cs="仿宋"/>
                <w:sz w:val="32"/>
                <w:szCs w:val="32"/>
              </w:rPr>
              <w:t>持续：平均每1年发生一次</w:t>
            </w:r>
          </w:p>
        </w:tc>
        <w:tc>
          <w:tcPr>
            <w:shd w:val="clear" w:color="auto" w:fill="auto"/>
            <w:vAlign w:val="center"/>
          </w:tcPr>
          <w:p w14:paraId="085D028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r>
      <w:tr w14:paraId="6D1E58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404C3C1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c>
          <w:tcPr>
            <w:shd w:val="clear" w:color="auto" w:fill="auto"/>
            <w:vAlign w:val="center"/>
          </w:tcPr>
          <w:p w14:paraId="3DFE391F">
            <w:pPr>
              <w:pStyle w:val="15"/>
              <w:rPr>
                <w:rFonts w:hint="eastAsia" w:ascii="仿宋" w:hAnsi="仿宋" w:eastAsia="仿宋" w:cs="仿宋"/>
                <w:sz w:val="32"/>
                <w:szCs w:val="32"/>
              </w:rPr>
            </w:pPr>
            <w:r>
              <w:rPr>
                <w:rFonts w:hint="eastAsia" w:ascii="仿宋" w:hAnsi="仿宋" w:eastAsia="仿宋" w:cs="仿宋"/>
                <w:sz w:val="32"/>
                <w:szCs w:val="32"/>
              </w:rPr>
              <w:t>可能（25%）</w:t>
            </w:r>
          </w:p>
        </w:tc>
        <w:tc>
          <w:tcPr>
            <w:shd w:val="clear" w:color="auto" w:fill="auto"/>
            <w:vAlign w:val="center"/>
          </w:tcPr>
          <w:p w14:paraId="1450F9BB">
            <w:pPr>
              <w:pStyle w:val="15"/>
              <w:rPr>
                <w:rFonts w:hint="eastAsia" w:ascii="仿宋" w:hAnsi="仿宋" w:eastAsia="仿宋" w:cs="仿宋"/>
                <w:sz w:val="32"/>
                <w:szCs w:val="32"/>
              </w:rPr>
            </w:pPr>
            <w:r>
              <w:rPr>
                <w:rFonts w:hint="eastAsia" w:ascii="仿宋" w:hAnsi="仿宋" w:eastAsia="仿宋" w:cs="仿宋"/>
                <w:sz w:val="32"/>
                <w:szCs w:val="32"/>
              </w:rPr>
              <w:t>经常：平均每1～2年发生一次</w:t>
            </w:r>
          </w:p>
        </w:tc>
        <w:tc>
          <w:tcPr>
            <w:shd w:val="clear" w:color="auto" w:fill="auto"/>
            <w:vAlign w:val="center"/>
          </w:tcPr>
          <w:p w14:paraId="4D754297">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r>
      <w:tr w14:paraId="40B5C0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0EA5B6B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4</w:t>
            </w:r>
          </w:p>
        </w:tc>
        <w:tc>
          <w:tcPr>
            <w:shd w:val="clear" w:color="auto" w:fill="auto"/>
            <w:vAlign w:val="center"/>
          </w:tcPr>
          <w:p w14:paraId="00E43EC0">
            <w:pPr>
              <w:pStyle w:val="15"/>
              <w:rPr>
                <w:rFonts w:hint="eastAsia" w:ascii="仿宋" w:hAnsi="仿宋" w:eastAsia="仿宋" w:cs="仿宋"/>
                <w:sz w:val="32"/>
                <w:szCs w:val="32"/>
              </w:rPr>
            </w:pPr>
            <w:r>
              <w:rPr>
                <w:rFonts w:hint="eastAsia" w:ascii="仿宋" w:hAnsi="仿宋" w:eastAsia="仿宋" w:cs="仿宋"/>
                <w:sz w:val="32"/>
                <w:szCs w:val="32"/>
              </w:rPr>
              <w:t>很少的可能性，据说曾经发生过</w:t>
            </w:r>
          </w:p>
        </w:tc>
        <w:tc>
          <w:tcPr>
            <w:shd w:val="clear" w:color="auto" w:fill="auto"/>
            <w:vAlign w:val="center"/>
          </w:tcPr>
          <w:p w14:paraId="0DF893C6">
            <w:pPr>
              <w:pStyle w:val="15"/>
              <w:rPr>
                <w:rFonts w:hint="eastAsia" w:ascii="仿宋" w:hAnsi="仿宋" w:eastAsia="仿宋" w:cs="仿宋"/>
                <w:sz w:val="32"/>
                <w:szCs w:val="32"/>
              </w:rPr>
            </w:pPr>
            <w:r>
              <w:rPr>
                <w:rFonts w:hint="eastAsia" w:ascii="仿宋" w:hAnsi="仿宋" w:eastAsia="仿宋" w:cs="仿宋"/>
                <w:sz w:val="32"/>
                <w:szCs w:val="32"/>
              </w:rPr>
              <w:t>偶然：3～9年发生一次</w:t>
            </w:r>
          </w:p>
        </w:tc>
        <w:tc>
          <w:tcPr>
            <w:shd w:val="clear" w:color="auto" w:fill="auto"/>
            <w:vAlign w:val="center"/>
          </w:tcPr>
          <w:p w14:paraId="3226860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r>
      <w:tr w14:paraId="5EDD14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380A76A5">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w:t>
            </w:r>
          </w:p>
        </w:tc>
        <w:tc>
          <w:tcPr>
            <w:shd w:val="clear" w:color="auto" w:fill="auto"/>
            <w:vAlign w:val="center"/>
          </w:tcPr>
          <w:p w14:paraId="4846C6D8">
            <w:pPr>
              <w:pStyle w:val="15"/>
              <w:rPr>
                <w:rFonts w:hint="eastAsia" w:ascii="仿宋" w:hAnsi="仿宋" w:eastAsia="仿宋" w:cs="仿宋"/>
                <w:sz w:val="32"/>
                <w:szCs w:val="32"/>
              </w:rPr>
            </w:pPr>
            <w:r>
              <w:rPr>
                <w:rFonts w:hint="eastAsia" w:ascii="仿宋" w:hAnsi="仿宋" w:eastAsia="仿宋" w:cs="仿宋"/>
                <w:sz w:val="32"/>
                <w:szCs w:val="32"/>
              </w:rPr>
              <w:t>相当少但确有可能，多年没有发生过</w:t>
            </w:r>
          </w:p>
        </w:tc>
        <w:tc>
          <w:tcPr>
            <w:shd w:val="clear" w:color="auto" w:fill="auto"/>
            <w:vAlign w:val="center"/>
          </w:tcPr>
          <w:p w14:paraId="0E975A32">
            <w:pPr>
              <w:pStyle w:val="15"/>
              <w:rPr>
                <w:rFonts w:hint="eastAsia" w:ascii="仿宋" w:hAnsi="仿宋" w:eastAsia="仿宋" w:cs="仿宋"/>
                <w:sz w:val="32"/>
                <w:szCs w:val="32"/>
              </w:rPr>
            </w:pPr>
            <w:r>
              <w:rPr>
                <w:rFonts w:hint="eastAsia" w:ascii="仿宋" w:hAnsi="仿宋" w:eastAsia="仿宋" w:cs="仿宋"/>
                <w:sz w:val="32"/>
                <w:szCs w:val="32"/>
              </w:rPr>
              <w:t>很难：10～20年发生一次</w:t>
            </w:r>
          </w:p>
        </w:tc>
        <w:tc>
          <w:tcPr>
            <w:shd w:val="clear" w:color="auto" w:fill="auto"/>
            <w:vAlign w:val="center"/>
          </w:tcPr>
          <w:p w14:paraId="39491029">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0.5</w:t>
            </w:r>
          </w:p>
        </w:tc>
      </w:tr>
      <w:tr w14:paraId="0295F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90" w:hRule="atLeast"/>
          <w:jc w:val="center"/>
        </w:trPr>
        <w:tc>
          <w:tcPr>
            <w:shd w:val="clear" w:color="auto" w:fill="auto"/>
            <w:vAlign w:val="center"/>
          </w:tcPr>
          <w:p w14:paraId="4600EF5A">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c>
          <w:tcPr>
            <w:shd w:val="clear" w:color="auto" w:fill="auto"/>
            <w:vAlign w:val="center"/>
          </w:tcPr>
          <w:p w14:paraId="1CFB521A">
            <w:pPr>
              <w:pStyle w:val="15"/>
              <w:rPr>
                <w:rFonts w:hint="eastAsia" w:ascii="仿宋" w:hAnsi="仿宋" w:eastAsia="仿宋" w:cs="仿宋"/>
                <w:sz w:val="32"/>
                <w:szCs w:val="32"/>
              </w:rPr>
            </w:pPr>
            <w:r>
              <w:rPr>
                <w:rFonts w:hint="eastAsia" w:ascii="仿宋" w:hAnsi="仿宋" w:eastAsia="仿宋" w:cs="仿宋"/>
                <w:sz w:val="32"/>
                <w:szCs w:val="32"/>
              </w:rPr>
              <w:t>百万分之一的可能性，尽管暴露了许多年，但从来没有发生过</w:t>
            </w:r>
          </w:p>
        </w:tc>
        <w:tc>
          <w:tcPr>
            <w:shd w:val="clear" w:color="auto" w:fill="auto"/>
            <w:vAlign w:val="center"/>
          </w:tcPr>
          <w:p w14:paraId="29F73215">
            <w:pPr>
              <w:pStyle w:val="15"/>
              <w:rPr>
                <w:rFonts w:hint="eastAsia" w:ascii="仿宋" w:hAnsi="仿宋" w:eastAsia="仿宋" w:cs="仿宋"/>
                <w:sz w:val="32"/>
                <w:szCs w:val="32"/>
              </w:rPr>
            </w:pPr>
            <w:r>
              <w:rPr>
                <w:rFonts w:hint="eastAsia" w:ascii="仿宋" w:hAnsi="仿宋" w:eastAsia="仿宋" w:cs="仿宋"/>
                <w:sz w:val="32"/>
                <w:szCs w:val="32"/>
              </w:rPr>
              <w:t>罕见：几乎从未发生过</w:t>
            </w:r>
          </w:p>
        </w:tc>
        <w:tc>
          <w:tcPr>
            <w:shd w:val="clear" w:color="auto" w:fill="auto"/>
            <w:vAlign w:val="center"/>
          </w:tcPr>
          <w:p w14:paraId="265CFB16">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0.1</w:t>
            </w:r>
          </w:p>
        </w:tc>
      </w:tr>
    </w:tbl>
    <w:p w14:paraId="71321EA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p>
    <w:p w14:paraId="6E5E98B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表2</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暴露率（E）基准值</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89"/>
        <w:gridCol w:w="3881"/>
        <w:gridCol w:w="3179"/>
        <w:gridCol w:w="773"/>
      </w:tblGrid>
      <w:tr w14:paraId="6E463E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9A74B2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gridSpan w:val="2"/>
            <w:shd w:val="clear" w:color="auto" w:fill="auto"/>
            <w:vAlign w:val="center"/>
          </w:tcPr>
          <w:p w14:paraId="4F31B1A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人员暴露于危险环境中的频繁程度</w:t>
            </w:r>
          </w:p>
        </w:tc>
        <w:tc>
          <w:tcPr>
            <w:vMerge w:val="restart"/>
            <w:shd w:val="clear" w:color="auto" w:fill="auto"/>
            <w:vAlign w:val="center"/>
          </w:tcPr>
          <w:p w14:paraId="4F38D58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分值</w:t>
            </w:r>
          </w:p>
        </w:tc>
      </w:tr>
      <w:tr w14:paraId="47C2A6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DE4427E">
            <w:pPr>
              <w:rPr>
                <w:rFonts w:hint="eastAsia" w:ascii="仿宋" w:hAnsi="仿宋" w:eastAsia="仿宋" w:cs="仿宋"/>
                <w:sz w:val="32"/>
                <w:szCs w:val="32"/>
                <w:lang w:eastAsia="zh-CN"/>
              </w:rPr>
            </w:pPr>
          </w:p>
        </w:tc>
        <w:tc>
          <w:tcPr>
            <w:shd w:val="clear" w:color="auto" w:fill="auto"/>
            <w:vAlign w:val="center"/>
          </w:tcPr>
          <w:p w14:paraId="0B906EB0">
            <w:pPr>
              <w:pStyle w:val="15"/>
              <w:rPr>
                <w:rFonts w:hint="eastAsia" w:ascii="仿宋" w:hAnsi="仿宋" w:eastAsia="仿宋" w:cs="仿宋"/>
                <w:sz w:val="32"/>
                <w:szCs w:val="32"/>
              </w:rPr>
            </w:pPr>
            <w:r>
              <w:rPr>
                <w:rFonts w:hint="eastAsia" w:ascii="仿宋" w:hAnsi="仿宋" w:eastAsia="仿宋" w:cs="仿宋"/>
                <w:b/>
                <w:bCs/>
                <w:sz w:val="32"/>
                <w:szCs w:val="32"/>
              </w:rPr>
              <w:t>人员伤亡、火灾、设备损坏、生产中断、环境污染</w:t>
            </w:r>
          </w:p>
        </w:tc>
        <w:tc>
          <w:tcPr>
            <w:shd w:val="clear" w:color="auto" w:fill="auto"/>
            <w:vAlign w:val="center"/>
          </w:tcPr>
          <w:p w14:paraId="2D33626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职业健康损害</w:t>
            </w:r>
          </w:p>
        </w:tc>
        <w:tc>
          <w:tcPr>
            <w:vMerge w:val="continue"/>
            <w:shd w:val="clear" w:color="auto" w:fill="auto"/>
            <w:vAlign w:val="center"/>
          </w:tcPr>
          <w:p w14:paraId="0466A5C6">
            <w:pPr>
              <w:rPr>
                <w:rFonts w:hint="eastAsia" w:ascii="仿宋" w:hAnsi="仿宋" w:eastAsia="仿宋" w:cs="仿宋"/>
                <w:sz w:val="32"/>
                <w:szCs w:val="32"/>
                <w:lang w:eastAsia="zh-CN"/>
              </w:rPr>
            </w:pPr>
          </w:p>
        </w:tc>
      </w:tr>
      <w:tr w14:paraId="09D2C5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6E1CFB34">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c>
          <w:tcPr>
            <w:shd w:val="clear" w:color="auto" w:fill="auto"/>
            <w:vAlign w:val="center"/>
          </w:tcPr>
          <w:p w14:paraId="079212D1">
            <w:pPr>
              <w:pStyle w:val="15"/>
              <w:rPr>
                <w:rFonts w:hint="eastAsia" w:ascii="仿宋" w:hAnsi="仿宋" w:eastAsia="仿宋" w:cs="仿宋"/>
                <w:sz w:val="32"/>
                <w:szCs w:val="32"/>
              </w:rPr>
            </w:pPr>
            <w:r>
              <w:rPr>
                <w:rFonts w:hint="eastAsia" w:ascii="仿宋" w:hAnsi="仿宋" w:eastAsia="仿宋" w:cs="仿宋"/>
                <w:sz w:val="32"/>
                <w:szCs w:val="32"/>
              </w:rPr>
              <w:t>持续（每天许多次）</w:t>
            </w:r>
          </w:p>
        </w:tc>
        <w:tc>
          <w:tcPr>
            <w:shd w:val="clear" w:color="auto" w:fill="auto"/>
            <w:vAlign w:val="center"/>
          </w:tcPr>
          <w:p w14:paraId="2A2E5C7E">
            <w:pPr>
              <w:pStyle w:val="15"/>
              <w:rPr>
                <w:rFonts w:hint="eastAsia" w:ascii="仿宋" w:hAnsi="仿宋" w:eastAsia="仿宋" w:cs="仿宋"/>
                <w:sz w:val="32"/>
                <w:szCs w:val="32"/>
              </w:rPr>
            </w:pPr>
            <w:r>
              <w:rPr>
                <w:rFonts w:hint="eastAsia" w:ascii="仿宋" w:hAnsi="仿宋" w:eastAsia="仿宋" w:cs="仿宋"/>
                <w:sz w:val="32"/>
                <w:szCs w:val="32"/>
              </w:rPr>
              <w:t>暴露期大于2倍的法定极限值</w:t>
            </w:r>
          </w:p>
        </w:tc>
        <w:tc>
          <w:tcPr>
            <w:shd w:val="clear" w:color="auto" w:fill="auto"/>
            <w:vAlign w:val="center"/>
          </w:tcPr>
          <w:p w14:paraId="1542F85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10</w:t>
            </w:r>
          </w:p>
        </w:tc>
      </w:tr>
      <w:tr w14:paraId="651A74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7438457A">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c>
          <w:tcPr>
            <w:shd w:val="clear" w:color="auto" w:fill="auto"/>
            <w:vAlign w:val="center"/>
          </w:tcPr>
          <w:p w14:paraId="5AAA15C7">
            <w:pPr>
              <w:pStyle w:val="15"/>
              <w:rPr>
                <w:rFonts w:hint="eastAsia" w:ascii="仿宋" w:hAnsi="仿宋" w:eastAsia="仿宋" w:cs="仿宋"/>
                <w:sz w:val="32"/>
                <w:szCs w:val="32"/>
              </w:rPr>
            </w:pPr>
            <w:r>
              <w:rPr>
                <w:rFonts w:hint="eastAsia" w:ascii="仿宋" w:hAnsi="仿宋" w:eastAsia="仿宋" w:cs="仿宋"/>
                <w:sz w:val="32"/>
                <w:szCs w:val="32"/>
              </w:rPr>
              <w:t>经常（大概每天一次）</w:t>
            </w:r>
          </w:p>
        </w:tc>
        <w:tc>
          <w:tcPr>
            <w:shd w:val="clear" w:color="auto" w:fill="auto"/>
            <w:vAlign w:val="center"/>
          </w:tcPr>
          <w:p w14:paraId="4044BEC6">
            <w:pPr>
              <w:pStyle w:val="15"/>
              <w:rPr>
                <w:rFonts w:hint="eastAsia" w:ascii="仿宋" w:hAnsi="仿宋" w:eastAsia="仿宋" w:cs="仿宋"/>
                <w:sz w:val="32"/>
                <w:szCs w:val="32"/>
              </w:rPr>
            </w:pPr>
            <w:r>
              <w:rPr>
                <w:rFonts w:hint="eastAsia" w:ascii="仿宋" w:hAnsi="仿宋" w:eastAsia="仿宋" w:cs="仿宋"/>
                <w:sz w:val="32"/>
                <w:szCs w:val="32"/>
              </w:rPr>
              <w:t>暴露期介于1～2倍法定极限值之间</w:t>
            </w:r>
          </w:p>
        </w:tc>
        <w:tc>
          <w:tcPr>
            <w:shd w:val="clear" w:color="auto" w:fill="auto"/>
            <w:vAlign w:val="center"/>
          </w:tcPr>
          <w:p w14:paraId="2F7B9F9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r>
      <w:tr w14:paraId="394A6B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39138D64">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c>
          <w:tcPr>
            <w:shd w:val="clear" w:color="auto" w:fill="auto"/>
            <w:vAlign w:val="center"/>
          </w:tcPr>
          <w:p w14:paraId="6C67D73F">
            <w:pPr>
              <w:pStyle w:val="15"/>
              <w:rPr>
                <w:rFonts w:hint="eastAsia" w:ascii="仿宋" w:hAnsi="仿宋" w:eastAsia="仿宋" w:cs="仿宋"/>
                <w:sz w:val="32"/>
                <w:szCs w:val="32"/>
              </w:rPr>
            </w:pPr>
            <w:r>
              <w:rPr>
                <w:rFonts w:hint="eastAsia" w:ascii="仿宋" w:hAnsi="仿宋" w:eastAsia="仿宋" w:cs="仿宋"/>
                <w:sz w:val="32"/>
                <w:szCs w:val="32"/>
              </w:rPr>
              <w:t>有时（从每周一次到每月一次）</w:t>
            </w:r>
          </w:p>
        </w:tc>
        <w:tc>
          <w:tcPr>
            <w:shd w:val="clear" w:color="auto" w:fill="auto"/>
            <w:vAlign w:val="center"/>
          </w:tcPr>
          <w:p w14:paraId="52C85065">
            <w:pPr>
              <w:pStyle w:val="15"/>
              <w:rPr>
                <w:rFonts w:hint="eastAsia" w:ascii="仿宋" w:hAnsi="仿宋" w:eastAsia="仿宋" w:cs="仿宋"/>
                <w:sz w:val="32"/>
                <w:szCs w:val="32"/>
              </w:rPr>
            </w:pPr>
            <w:r>
              <w:rPr>
                <w:rFonts w:hint="eastAsia" w:ascii="仿宋" w:hAnsi="仿宋" w:eastAsia="仿宋" w:cs="仿宋"/>
                <w:sz w:val="32"/>
                <w:szCs w:val="32"/>
              </w:rPr>
              <w:t>暴露期在法定极限值内</w:t>
            </w:r>
          </w:p>
        </w:tc>
        <w:tc>
          <w:tcPr>
            <w:shd w:val="clear" w:color="auto" w:fill="auto"/>
            <w:vAlign w:val="center"/>
          </w:tcPr>
          <w:p w14:paraId="509F7297">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r>
      <w:tr w14:paraId="706651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5DEA3FF4">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4</w:t>
            </w:r>
          </w:p>
        </w:tc>
        <w:tc>
          <w:tcPr>
            <w:shd w:val="clear" w:color="auto" w:fill="auto"/>
            <w:vAlign w:val="center"/>
          </w:tcPr>
          <w:p w14:paraId="3B4EA24A">
            <w:pPr>
              <w:pStyle w:val="15"/>
              <w:rPr>
                <w:rFonts w:hint="eastAsia" w:ascii="仿宋" w:hAnsi="仿宋" w:eastAsia="仿宋" w:cs="仿宋"/>
                <w:sz w:val="32"/>
                <w:szCs w:val="32"/>
              </w:rPr>
            </w:pPr>
            <w:r>
              <w:rPr>
                <w:rFonts w:hint="eastAsia" w:ascii="仿宋" w:hAnsi="仿宋" w:eastAsia="仿宋" w:cs="仿宋"/>
                <w:sz w:val="32"/>
                <w:szCs w:val="32"/>
              </w:rPr>
              <w:t>偶尔（从每月一次到每年一次）</w:t>
            </w:r>
          </w:p>
        </w:tc>
        <w:tc>
          <w:tcPr>
            <w:shd w:val="clear" w:color="auto" w:fill="auto"/>
            <w:vAlign w:val="center"/>
          </w:tcPr>
          <w:p w14:paraId="7885B729">
            <w:pPr>
              <w:pStyle w:val="15"/>
              <w:rPr>
                <w:rFonts w:hint="eastAsia" w:ascii="仿宋" w:hAnsi="仿宋" w:eastAsia="仿宋" w:cs="仿宋"/>
                <w:sz w:val="32"/>
                <w:szCs w:val="32"/>
              </w:rPr>
            </w:pPr>
            <w:r>
              <w:rPr>
                <w:rFonts w:hint="eastAsia" w:ascii="仿宋" w:hAnsi="仿宋" w:eastAsia="仿宋" w:cs="仿宋"/>
                <w:sz w:val="32"/>
                <w:szCs w:val="32"/>
              </w:rPr>
              <w:t>暴露期在正常允许水平和法定极限值之间</w:t>
            </w:r>
          </w:p>
        </w:tc>
        <w:tc>
          <w:tcPr>
            <w:shd w:val="clear" w:color="auto" w:fill="auto"/>
            <w:vAlign w:val="center"/>
          </w:tcPr>
          <w:p w14:paraId="790D9164">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r>
      <w:tr w14:paraId="5DC25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2B538CEC">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w:t>
            </w:r>
          </w:p>
        </w:tc>
        <w:tc>
          <w:tcPr>
            <w:shd w:val="clear" w:color="auto" w:fill="auto"/>
            <w:vAlign w:val="center"/>
          </w:tcPr>
          <w:p w14:paraId="0F0E6345">
            <w:pPr>
              <w:pStyle w:val="15"/>
              <w:rPr>
                <w:rFonts w:hint="eastAsia" w:ascii="仿宋" w:hAnsi="仿宋" w:eastAsia="仿宋" w:cs="仿宋"/>
                <w:sz w:val="32"/>
                <w:szCs w:val="32"/>
              </w:rPr>
            </w:pPr>
            <w:r>
              <w:rPr>
                <w:rFonts w:hint="eastAsia" w:ascii="仿宋" w:hAnsi="仿宋" w:eastAsia="仿宋" w:cs="仿宋"/>
                <w:sz w:val="32"/>
                <w:szCs w:val="32"/>
              </w:rPr>
              <w:t>很少（据说曾经发生过）</w:t>
            </w:r>
          </w:p>
        </w:tc>
        <w:tc>
          <w:tcPr>
            <w:shd w:val="clear" w:color="auto" w:fill="auto"/>
            <w:vAlign w:val="center"/>
          </w:tcPr>
          <w:p w14:paraId="01807577">
            <w:pPr>
              <w:pStyle w:val="15"/>
              <w:rPr>
                <w:rFonts w:hint="eastAsia" w:ascii="仿宋" w:hAnsi="仿宋" w:eastAsia="仿宋" w:cs="仿宋"/>
                <w:sz w:val="32"/>
                <w:szCs w:val="32"/>
              </w:rPr>
            </w:pPr>
            <w:r>
              <w:rPr>
                <w:rFonts w:hint="eastAsia" w:ascii="仿宋" w:hAnsi="仿宋" w:eastAsia="仿宋" w:cs="仿宋"/>
                <w:sz w:val="32"/>
                <w:szCs w:val="32"/>
              </w:rPr>
              <w:t>暴露期在正常允许水平内</w:t>
            </w:r>
          </w:p>
        </w:tc>
        <w:tc>
          <w:tcPr>
            <w:shd w:val="clear" w:color="auto" w:fill="auto"/>
            <w:vAlign w:val="center"/>
          </w:tcPr>
          <w:p w14:paraId="3120F2AE">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r>
      <w:tr w14:paraId="39628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39FA80B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c>
          <w:tcPr>
            <w:shd w:val="clear" w:color="auto" w:fill="auto"/>
            <w:vAlign w:val="center"/>
          </w:tcPr>
          <w:p w14:paraId="750EB0C4">
            <w:pPr>
              <w:pStyle w:val="15"/>
              <w:rPr>
                <w:rFonts w:hint="eastAsia" w:ascii="仿宋" w:hAnsi="仿宋" w:eastAsia="仿宋" w:cs="仿宋"/>
                <w:sz w:val="32"/>
                <w:szCs w:val="32"/>
              </w:rPr>
            </w:pPr>
            <w:r>
              <w:rPr>
                <w:rFonts w:hint="eastAsia" w:ascii="仿宋" w:hAnsi="仿宋" w:eastAsia="仿宋" w:cs="仿宋"/>
                <w:sz w:val="32"/>
                <w:szCs w:val="32"/>
              </w:rPr>
              <w:t>特别少（没发生过，但有发生的可能性）</w:t>
            </w:r>
          </w:p>
        </w:tc>
        <w:tc>
          <w:tcPr>
            <w:shd w:val="clear" w:color="auto" w:fill="auto"/>
            <w:vAlign w:val="center"/>
          </w:tcPr>
          <w:p w14:paraId="6CC1B9D9">
            <w:pPr>
              <w:pStyle w:val="15"/>
              <w:rPr>
                <w:rFonts w:hint="eastAsia" w:ascii="仿宋" w:hAnsi="仿宋" w:eastAsia="仿宋" w:cs="仿宋"/>
                <w:sz w:val="32"/>
                <w:szCs w:val="32"/>
              </w:rPr>
            </w:pPr>
            <w:r>
              <w:rPr>
                <w:rFonts w:hint="eastAsia" w:ascii="仿宋" w:hAnsi="仿宋" w:eastAsia="仿宋" w:cs="仿宋"/>
                <w:sz w:val="32"/>
                <w:szCs w:val="32"/>
              </w:rPr>
              <w:t>暴露期低于正常允许水平</w:t>
            </w:r>
          </w:p>
        </w:tc>
        <w:tc>
          <w:tcPr>
            <w:shd w:val="clear" w:color="auto" w:fill="auto"/>
            <w:vAlign w:val="center"/>
          </w:tcPr>
          <w:p w14:paraId="6F7786D6">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0.5</w:t>
            </w:r>
          </w:p>
        </w:tc>
      </w:tr>
    </w:tbl>
    <w:p w14:paraId="4B9D118E">
      <w:pPr>
        <w:pStyle w:val="5"/>
        <w:rPr>
          <w:rFonts w:hint="eastAsia" w:ascii="仿宋" w:hAnsi="仿宋" w:eastAsia="仿宋" w:cs="仿宋"/>
          <w:b/>
          <w:bCs/>
          <w:sz w:val="32"/>
          <w:szCs w:val="32"/>
        </w:rPr>
      </w:pPr>
    </w:p>
    <w:p w14:paraId="3B312A4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表3</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后果（C）基准值</w:t>
      </w:r>
    </w:p>
    <w:tbl>
      <w:tblPr>
        <w:tblStyle w:val="16"/>
        <w:tblW w:w="500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108" w:type="dxa"/>
          <w:bottom w:w="28" w:type="dxa"/>
          <w:right w:w="108" w:type="dxa"/>
        </w:tblCellMar>
      </w:tblPr>
      <w:tblGrid>
        <w:gridCol w:w="2131"/>
        <w:gridCol w:w="2131"/>
        <w:gridCol w:w="2131"/>
        <w:gridCol w:w="2131"/>
      </w:tblGrid>
      <w:tr w14:paraId="32A4BA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79D20557">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gridSpan w:val="2"/>
            <w:shd w:val="clear" w:color="auto" w:fill="auto"/>
            <w:vAlign w:val="center"/>
          </w:tcPr>
          <w:p w14:paraId="73C8094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事故可能造成后果的严重程度</w:t>
            </w:r>
          </w:p>
        </w:tc>
        <w:tc>
          <w:tcPr>
            <w:shd w:val="clear" w:color="auto" w:fill="auto"/>
            <w:vAlign w:val="center"/>
          </w:tcPr>
          <w:p w14:paraId="141569D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分值</w:t>
            </w:r>
          </w:p>
        </w:tc>
      </w:tr>
      <w:tr w14:paraId="7B9BA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5C8E49C6">
            <w:pPr>
              <w:pStyle w:val="15"/>
              <w:jc w:val="center"/>
              <w:rPr>
                <w:rFonts w:hint="eastAsia" w:ascii="仿宋" w:hAnsi="仿宋" w:eastAsia="仿宋" w:cs="仿宋"/>
                <w:sz w:val="32"/>
                <w:szCs w:val="32"/>
              </w:rPr>
            </w:pPr>
            <w:r>
              <w:rPr>
                <w:rFonts w:hint="eastAsia" w:ascii="仿宋" w:hAnsi="仿宋" w:eastAsia="仿宋" w:cs="仿宋"/>
                <w:sz w:val="32"/>
                <w:szCs w:val="32"/>
              </w:rPr>
              <w:t>1</w:t>
            </w:r>
          </w:p>
        </w:tc>
        <w:tc>
          <w:tcPr>
            <w:shd w:val="clear" w:color="auto" w:fill="auto"/>
            <w:vAlign w:val="center"/>
          </w:tcPr>
          <w:p w14:paraId="6E00F5A7">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2AAE10EE">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（1）造成死亡≥3人；或重伤≥10人。</w:t>
            </w:r>
          </w:p>
        </w:tc>
        <w:tc>
          <w:tcPr>
            <w:vMerge w:val="restart"/>
            <w:shd w:val="clear" w:color="auto" w:fill="auto"/>
            <w:vAlign w:val="center"/>
          </w:tcPr>
          <w:p w14:paraId="5AAA4EAA">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100</w:t>
            </w:r>
          </w:p>
        </w:tc>
      </w:tr>
      <w:tr w14:paraId="5277C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B896CEC">
            <w:pPr>
              <w:rPr>
                <w:rFonts w:hint="eastAsia" w:ascii="仿宋" w:hAnsi="仿宋" w:eastAsia="仿宋" w:cs="仿宋"/>
                <w:sz w:val="32"/>
                <w:szCs w:val="32"/>
                <w:lang w:eastAsia="zh-CN"/>
              </w:rPr>
            </w:pPr>
          </w:p>
        </w:tc>
        <w:tc>
          <w:tcPr>
            <w:shd w:val="clear" w:color="auto" w:fill="auto"/>
            <w:vAlign w:val="center"/>
          </w:tcPr>
          <w:p w14:paraId="2EB33039">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223D968E">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（1）造成设备或财产损失≥1000万元。</w:t>
            </w:r>
          </w:p>
        </w:tc>
        <w:tc>
          <w:tcPr>
            <w:vMerge w:val="continue"/>
            <w:shd w:val="clear" w:color="auto" w:fill="auto"/>
            <w:vAlign w:val="center"/>
          </w:tcPr>
          <w:p w14:paraId="5233CF5D">
            <w:pPr>
              <w:rPr>
                <w:rFonts w:hint="eastAsia" w:ascii="仿宋" w:hAnsi="仿宋" w:eastAsia="仿宋" w:cs="仿宋"/>
                <w:sz w:val="32"/>
                <w:szCs w:val="32"/>
                <w:lang w:eastAsia="zh-CN"/>
              </w:rPr>
            </w:pPr>
          </w:p>
        </w:tc>
      </w:tr>
      <w:tr w14:paraId="67AD3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791178A">
            <w:pPr>
              <w:rPr>
                <w:rFonts w:hint="eastAsia" w:ascii="仿宋" w:hAnsi="仿宋" w:eastAsia="仿宋" w:cs="仿宋"/>
                <w:sz w:val="32"/>
                <w:szCs w:val="32"/>
                <w:lang w:eastAsia="zh-CN"/>
              </w:rPr>
            </w:pPr>
          </w:p>
        </w:tc>
        <w:tc>
          <w:tcPr>
            <w:shd w:val="clear" w:color="auto" w:fill="auto"/>
            <w:vAlign w:val="center"/>
          </w:tcPr>
          <w:p w14:paraId="5229DDD5">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26F820D9">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（1）造成较大以上电力安全事故。</w:t>
            </w:r>
          </w:p>
        </w:tc>
        <w:tc>
          <w:tcPr>
            <w:vMerge w:val="continue"/>
            <w:shd w:val="clear" w:color="auto" w:fill="auto"/>
            <w:vAlign w:val="center"/>
          </w:tcPr>
          <w:p w14:paraId="7B1E85D0">
            <w:pPr>
              <w:rPr>
                <w:rFonts w:hint="eastAsia" w:ascii="仿宋" w:hAnsi="仿宋" w:eastAsia="仿宋" w:cs="仿宋"/>
                <w:sz w:val="32"/>
                <w:szCs w:val="32"/>
                <w:lang w:eastAsia="zh-CN"/>
              </w:rPr>
            </w:pPr>
          </w:p>
        </w:tc>
      </w:tr>
      <w:tr w14:paraId="0D6A8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03695E9">
            <w:pPr>
              <w:rPr>
                <w:rFonts w:hint="eastAsia" w:ascii="仿宋" w:hAnsi="仿宋" w:eastAsia="仿宋" w:cs="仿宋"/>
                <w:sz w:val="32"/>
                <w:szCs w:val="32"/>
                <w:lang w:eastAsia="zh-CN"/>
              </w:rPr>
            </w:pPr>
          </w:p>
        </w:tc>
        <w:tc>
          <w:tcPr>
            <w:shd w:val="clear" w:color="auto" w:fill="auto"/>
            <w:vAlign w:val="center"/>
          </w:tcPr>
          <w:p w14:paraId="32FEDAD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0CCAF3BD">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（1）造成大范围环境破坏；</w:t>
            </w:r>
            <w:r>
              <w:rPr>
                <w:rFonts w:hint="eastAsia" w:ascii="仿宋" w:hAnsi="仿宋" w:eastAsia="仿宋" w:cs="仿宋"/>
                <w:sz w:val="32"/>
                <w:szCs w:val="32"/>
              </w:rPr>
              <w:br w:type="textWrapping"/>
            </w:r>
            <w:r>
              <w:rPr>
                <w:rFonts w:hint="eastAsia" w:ascii="仿宋" w:hAnsi="仿宋" w:eastAsia="仿宋" w:cs="仿宋"/>
                <w:sz w:val="32"/>
                <w:szCs w:val="32"/>
              </w:rPr>
              <w:t>（2）造成人员死亡、环境恢复困难；</w:t>
            </w:r>
            <w:r>
              <w:rPr>
                <w:rFonts w:hint="eastAsia" w:ascii="仿宋" w:hAnsi="仿宋" w:eastAsia="仿宋" w:cs="仿宋"/>
                <w:sz w:val="32"/>
                <w:szCs w:val="32"/>
              </w:rPr>
              <w:br w:type="textWrapping"/>
            </w:r>
            <w:r>
              <w:rPr>
                <w:rFonts w:hint="eastAsia" w:ascii="仿宋" w:hAnsi="仿宋" w:eastAsia="仿宋" w:cs="仿宋"/>
                <w:sz w:val="32"/>
                <w:szCs w:val="32"/>
              </w:rPr>
              <w:t>（3）严重违反国家环境保护法律法规。</w:t>
            </w:r>
          </w:p>
        </w:tc>
        <w:tc>
          <w:tcPr>
            <w:vMerge w:val="continue"/>
            <w:shd w:val="clear" w:color="auto" w:fill="auto"/>
            <w:vAlign w:val="center"/>
          </w:tcPr>
          <w:p w14:paraId="4DBC3BE7">
            <w:pPr>
              <w:rPr>
                <w:rFonts w:hint="eastAsia" w:ascii="仿宋" w:hAnsi="仿宋" w:eastAsia="仿宋" w:cs="仿宋"/>
                <w:sz w:val="32"/>
                <w:szCs w:val="32"/>
                <w:lang w:eastAsia="zh-CN"/>
              </w:rPr>
            </w:pPr>
          </w:p>
        </w:tc>
      </w:tr>
      <w:tr w14:paraId="23EEAE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EAD65E6">
            <w:pPr>
              <w:rPr>
                <w:rFonts w:hint="eastAsia" w:ascii="仿宋" w:hAnsi="仿宋" w:eastAsia="仿宋" w:cs="仿宋"/>
                <w:sz w:val="32"/>
                <w:szCs w:val="32"/>
                <w:lang w:eastAsia="zh-CN"/>
              </w:rPr>
            </w:pPr>
          </w:p>
        </w:tc>
        <w:tc>
          <w:tcPr>
            <w:shd w:val="clear" w:color="auto" w:fill="auto"/>
            <w:vAlign w:val="center"/>
          </w:tcPr>
          <w:p w14:paraId="19565095">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71DBC33C">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（1）造成3～9例无法复原的严重职业病；</w:t>
            </w:r>
            <w:r>
              <w:rPr>
                <w:rFonts w:hint="eastAsia" w:ascii="仿宋" w:hAnsi="仿宋" w:eastAsia="仿宋" w:cs="仿宋"/>
                <w:sz w:val="32"/>
                <w:szCs w:val="32"/>
              </w:rPr>
              <w:br w:type="textWrapping"/>
            </w:r>
            <w:r>
              <w:rPr>
                <w:rFonts w:hint="eastAsia" w:ascii="仿宋" w:hAnsi="仿宋" w:eastAsia="仿宋" w:cs="仿宋"/>
                <w:sz w:val="32"/>
                <w:szCs w:val="32"/>
              </w:rPr>
              <w:t>（2）造成9例以上很难治愈的职业病。</w:t>
            </w:r>
          </w:p>
        </w:tc>
        <w:tc>
          <w:tcPr>
            <w:vMerge w:val="continue"/>
            <w:shd w:val="clear" w:color="auto" w:fill="auto"/>
            <w:vAlign w:val="center"/>
          </w:tcPr>
          <w:p w14:paraId="360D53CD">
            <w:pPr>
              <w:rPr>
                <w:rFonts w:hint="eastAsia" w:ascii="仿宋" w:hAnsi="仿宋" w:eastAsia="仿宋" w:cs="仿宋"/>
                <w:sz w:val="32"/>
                <w:szCs w:val="32"/>
                <w:lang w:eastAsia="zh-CN"/>
              </w:rPr>
            </w:pPr>
          </w:p>
        </w:tc>
      </w:tr>
      <w:tr w14:paraId="1A95A8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50223305">
            <w:pPr>
              <w:pStyle w:val="15"/>
              <w:jc w:val="center"/>
              <w:rPr>
                <w:rFonts w:hint="eastAsia" w:ascii="仿宋" w:hAnsi="仿宋" w:eastAsia="仿宋" w:cs="仿宋"/>
                <w:sz w:val="32"/>
                <w:szCs w:val="32"/>
              </w:rPr>
            </w:pPr>
            <w:r>
              <w:rPr>
                <w:rFonts w:hint="eastAsia" w:ascii="仿宋" w:hAnsi="仿宋" w:eastAsia="仿宋" w:cs="仿宋"/>
                <w:sz w:val="32"/>
                <w:szCs w:val="32"/>
              </w:rPr>
              <w:t>2</w:t>
            </w:r>
          </w:p>
        </w:tc>
        <w:tc>
          <w:tcPr>
            <w:shd w:val="clear" w:color="auto" w:fill="auto"/>
            <w:vAlign w:val="center"/>
          </w:tcPr>
          <w:p w14:paraId="1E963390">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7AC55451">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（1）造成1～2人死亡；或重伤3～9人。</w:t>
            </w:r>
          </w:p>
        </w:tc>
        <w:tc>
          <w:tcPr>
            <w:vMerge w:val="restart"/>
            <w:shd w:val="clear" w:color="auto" w:fill="auto"/>
            <w:vAlign w:val="center"/>
          </w:tcPr>
          <w:p w14:paraId="4DCB0E9E">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50</w:t>
            </w:r>
          </w:p>
        </w:tc>
      </w:tr>
      <w:tr w14:paraId="0B1C50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96518E3">
            <w:pPr>
              <w:rPr>
                <w:rFonts w:hint="eastAsia" w:ascii="仿宋" w:hAnsi="仿宋" w:eastAsia="仿宋" w:cs="仿宋"/>
                <w:sz w:val="32"/>
                <w:szCs w:val="32"/>
                <w:lang w:eastAsia="zh-CN"/>
              </w:rPr>
            </w:pPr>
          </w:p>
        </w:tc>
        <w:tc>
          <w:tcPr>
            <w:shd w:val="clear" w:color="auto" w:fill="auto"/>
            <w:vAlign w:val="center"/>
          </w:tcPr>
          <w:p w14:paraId="6AB8FBEE">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63201411">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（1）造成设备或财产损失在100万元到1000万元之间。</w:t>
            </w:r>
          </w:p>
        </w:tc>
        <w:tc>
          <w:tcPr>
            <w:vMerge w:val="continue"/>
            <w:shd w:val="clear" w:color="auto" w:fill="auto"/>
            <w:vAlign w:val="center"/>
          </w:tcPr>
          <w:p w14:paraId="6BE443E1">
            <w:pPr>
              <w:rPr>
                <w:rFonts w:hint="eastAsia" w:ascii="仿宋" w:hAnsi="仿宋" w:eastAsia="仿宋" w:cs="仿宋"/>
                <w:sz w:val="32"/>
                <w:szCs w:val="32"/>
                <w:lang w:eastAsia="zh-CN"/>
              </w:rPr>
            </w:pPr>
          </w:p>
        </w:tc>
      </w:tr>
      <w:tr w14:paraId="6A342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EBDEDA0">
            <w:pPr>
              <w:rPr>
                <w:rFonts w:hint="eastAsia" w:ascii="仿宋" w:hAnsi="仿宋" w:eastAsia="仿宋" w:cs="仿宋"/>
                <w:sz w:val="32"/>
                <w:szCs w:val="32"/>
                <w:lang w:eastAsia="zh-CN"/>
              </w:rPr>
            </w:pPr>
          </w:p>
        </w:tc>
        <w:tc>
          <w:tcPr>
            <w:shd w:val="clear" w:color="auto" w:fill="auto"/>
            <w:vAlign w:val="center"/>
          </w:tcPr>
          <w:p w14:paraId="40FB789B">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337B0BC7">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（1）造成一般电力安全事故且中断安全记录。</w:t>
            </w:r>
          </w:p>
        </w:tc>
        <w:tc>
          <w:tcPr>
            <w:vMerge w:val="continue"/>
            <w:shd w:val="clear" w:color="auto" w:fill="auto"/>
            <w:vAlign w:val="center"/>
          </w:tcPr>
          <w:p w14:paraId="16B416C6">
            <w:pPr>
              <w:rPr>
                <w:rFonts w:hint="eastAsia" w:ascii="仿宋" w:hAnsi="仿宋" w:eastAsia="仿宋" w:cs="仿宋"/>
                <w:sz w:val="32"/>
                <w:szCs w:val="32"/>
                <w:lang w:eastAsia="zh-CN"/>
              </w:rPr>
            </w:pPr>
          </w:p>
        </w:tc>
      </w:tr>
      <w:tr w14:paraId="63216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9A40BC5">
            <w:pPr>
              <w:rPr>
                <w:rFonts w:hint="eastAsia" w:ascii="仿宋" w:hAnsi="仿宋" w:eastAsia="仿宋" w:cs="仿宋"/>
                <w:sz w:val="32"/>
                <w:szCs w:val="32"/>
                <w:lang w:eastAsia="zh-CN"/>
              </w:rPr>
            </w:pPr>
          </w:p>
        </w:tc>
        <w:tc>
          <w:tcPr>
            <w:shd w:val="clear" w:color="auto" w:fill="auto"/>
            <w:vAlign w:val="center"/>
          </w:tcPr>
          <w:p w14:paraId="375C150E">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573154D2">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（1）造成较大范围的环境破坏；</w:t>
            </w:r>
            <w:r>
              <w:rPr>
                <w:rFonts w:hint="eastAsia" w:ascii="仿宋" w:hAnsi="仿宋" w:eastAsia="仿宋" w:cs="仿宋"/>
                <w:sz w:val="32"/>
                <w:szCs w:val="32"/>
              </w:rPr>
              <w:br w:type="textWrapping"/>
            </w:r>
            <w:r>
              <w:rPr>
                <w:rFonts w:hint="eastAsia" w:ascii="仿宋" w:hAnsi="仿宋" w:eastAsia="仿宋" w:cs="仿宋"/>
                <w:sz w:val="32"/>
                <w:szCs w:val="32"/>
              </w:rPr>
              <w:t>（2）影响后果可导致急性疾病或重大伤残，居民需要撤离；</w:t>
            </w:r>
            <w:r>
              <w:rPr>
                <w:rFonts w:hint="eastAsia" w:ascii="仿宋" w:hAnsi="仿宋" w:eastAsia="仿宋" w:cs="仿宋"/>
                <w:sz w:val="32"/>
                <w:szCs w:val="32"/>
              </w:rPr>
              <w:br w:type="textWrapping"/>
            </w:r>
            <w:r>
              <w:rPr>
                <w:rFonts w:hint="eastAsia" w:ascii="仿宋" w:hAnsi="仿宋" w:eastAsia="仿宋" w:cs="仿宋"/>
                <w:sz w:val="32"/>
                <w:szCs w:val="32"/>
              </w:rPr>
              <w:t>（3）政府要求整顿。</w:t>
            </w:r>
          </w:p>
        </w:tc>
        <w:tc>
          <w:tcPr>
            <w:vMerge w:val="continue"/>
            <w:shd w:val="clear" w:color="auto" w:fill="auto"/>
            <w:vAlign w:val="center"/>
          </w:tcPr>
          <w:p w14:paraId="57552AF9">
            <w:pPr>
              <w:rPr>
                <w:rFonts w:hint="eastAsia" w:ascii="仿宋" w:hAnsi="仿宋" w:eastAsia="仿宋" w:cs="仿宋"/>
                <w:sz w:val="32"/>
                <w:szCs w:val="32"/>
                <w:lang w:eastAsia="zh-CN"/>
              </w:rPr>
            </w:pPr>
          </w:p>
        </w:tc>
      </w:tr>
      <w:tr w14:paraId="6F415A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14BF5C8">
            <w:pPr>
              <w:rPr>
                <w:rFonts w:hint="eastAsia" w:ascii="仿宋" w:hAnsi="仿宋" w:eastAsia="仿宋" w:cs="仿宋"/>
                <w:sz w:val="32"/>
                <w:szCs w:val="32"/>
                <w:lang w:eastAsia="zh-CN"/>
              </w:rPr>
            </w:pPr>
          </w:p>
        </w:tc>
        <w:tc>
          <w:tcPr>
            <w:shd w:val="clear" w:color="auto" w:fill="auto"/>
            <w:vAlign w:val="center"/>
          </w:tcPr>
          <w:p w14:paraId="623BB13C">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16B4D612">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（1）造成1～2例无法复原的严重职业病；</w:t>
            </w:r>
            <w:r>
              <w:rPr>
                <w:rFonts w:hint="eastAsia" w:ascii="仿宋" w:hAnsi="仿宋" w:eastAsia="仿宋" w:cs="仿宋"/>
                <w:sz w:val="32"/>
                <w:szCs w:val="32"/>
              </w:rPr>
              <w:br w:type="textWrapping"/>
            </w:r>
            <w:r>
              <w:rPr>
                <w:rFonts w:hint="eastAsia" w:ascii="仿宋" w:hAnsi="仿宋" w:eastAsia="仿宋" w:cs="仿宋"/>
                <w:sz w:val="32"/>
                <w:szCs w:val="32"/>
              </w:rPr>
              <w:t>（2）造成3～9例以上很难治愈的职业病。</w:t>
            </w:r>
          </w:p>
        </w:tc>
        <w:tc>
          <w:tcPr>
            <w:vMerge w:val="continue"/>
            <w:shd w:val="clear" w:color="auto" w:fill="auto"/>
            <w:vAlign w:val="center"/>
          </w:tcPr>
          <w:p w14:paraId="4369792C">
            <w:pPr>
              <w:rPr>
                <w:rFonts w:hint="eastAsia" w:ascii="仿宋" w:hAnsi="仿宋" w:eastAsia="仿宋" w:cs="仿宋"/>
                <w:sz w:val="32"/>
                <w:szCs w:val="32"/>
                <w:lang w:eastAsia="zh-CN"/>
              </w:rPr>
            </w:pPr>
          </w:p>
        </w:tc>
      </w:tr>
      <w:tr w14:paraId="12766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16FAD9F">
            <w:pPr>
              <w:pStyle w:val="15"/>
              <w:jc w:val="center"/>
              <w:rPr>
                <w:rFonts w:hint="eastAsia" w:ascii="仿宋" w:hAnsi="仿宋" w:eastAsia="仿宋" w:cs="仿宋"/>
                <w:sz w:val="32"/>
                <w:szCs w:val="32"/>
              </w:rPr>
            </w:pPr>
            <w:r>
              <w:rPr>
                <w:rFonts w:hint="eastAsia" w:ascii="仿宋" w:hAnsi="仿宋" w:eastAsia="仿宋" w:cs="仿宋"/>
                <w:sz w:val="32"/>
                <w:szCs w:val="32"/>
              </w:rPr>
              <w:t>3</w:t>
            </w:r>
          </w:p>
        </w:tc>
        <w:tc>
          <w:tcPr>
            <w:shd w:val="clear" w:color="auto" w:fill="auto"/>
            <w:vAlign w:val="center"/>
          </w:tcPr>
          <w:p w14:paraId="2B8ECDBA">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64788BF0">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（1）造成重伤1～2人。</w:t>
            </w:r>
          </w:p>
        </w:tc>
        <w:tc>
          <w:tcPr>
            <w:vMerge w:val="restart"/>
            <w:shd w:val="clear" w:color="auto" w:fill="auto"/>
            <w:vAlign w:val="center"/>
          </w:tcPr>
          <w:p w14:paraId="34761DF2">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25</w:t>
            </w:r>
          </w:p>
        </w:tc>
      </w:tr>
      <w:tr w14:paraId="758DB1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8136AA0">
            <w:pPr>
              <w:rPr>
                <w:rFonts w:hint="eastAsia" w:ascii="仿宋" w:hAnsi="仿宋" w:eastAsia="仿宋" w:cs="仿宋"/>
                <w:sz w:val="32"/>
                <w:szCs w:val="32"/>
                <w:lang w:eastAsia="zh-CN"/>
              </w:rPr>
            </w:pPr>
          </w:p>
        </w:tc>
        <w:tc>
          <w:tcPr>
            <w:shd w:val="clear" w:color="auto" w:fill="auto"/>
            <w:vAlign w:val="center"/>
          </w:tcPr>
          <w:p w14:paraId="605776BD">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502DA1AE">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（1）造成设备或财产损失在50万元到100万元之间。</w:t>
            </w:r>
          </w:p>
        </w:tc>
        <w:tc>
          <w:tcPr>
            <w:vMerge w:val="continue"/>
            <w:shd w:val="clear" w:color="auto" w:fill="auto"/>
            <w:vAlign w:val="center"/>
          </w:tcPr>
          <w:p w14:paraId="1EAEBCF1">
            <w:pPr>
              <w:rPr>
                <w:rFonts w:hint="eastAsia" w:ascii="仿宋" w:hAnsi="仿宋" w:eastAsia="仿宋" w:cs="仿宋"/>
                <w:sz w:val="32"/>
                <w:szCs w:val="32"/>
                <w:lang w:eastAsia="zh-CN"/>
              </w:rPr>
            </w:pPr>
          </w:p>
        </w:tc>
      </w:tr>
      <w:tr w14:paraId="0878F7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98D7C83">
            <w:pPr>
              <w:rPr>
                <w:rFonts w:hint="eastAsia" w:ascii="仿宋" w:hAnsi="仿宋" w:eastAsia="仿宋" w:cs="仿宋"/>
                <w:sz w:val="32"/>
                <w:szCs w:val="32"/>
                <w:lang w:eastAsia="zh-CN"/>
              </w:rPr>
            </w:pPr>
          </w:p>
        </w:tc>
        <w:tc>
          <w:tcPr>
            <w:shd w:val="clear" w:color="auto" w:fill="auto"/>
            <w:vAlign w:val="center"/>
          </w:tcPr>
          <w:p w14:paraId="5925DA4D">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17A1635D">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（1）造成内部统计事故。</w:t>
            </w:r>
          </w:p>
        </w:tc>
        <w:tc>
          <w:tcPr>
            <w:vMerge w:val="continue"/>
            <w:shd w:val="clear" w:color="auto" w:fill="auto"/>
            <w:vAlign w:val="center"/>
          </w:tcPr>
          <w:p w14:paraId="52CF53CF">
            <w:pPr>
              <w:rPr>
                <w:rFonts w:hint="eastAsia" w:ascii="仿宋" w:hAnsi="仿宋" w:eastAsia="仿宋" w:cs="仿宋"/>
                <w:sz w:val="32"/>
                <w:szCs w:val="32"/>
                <w:lang w:eastAsia="zh-CN"/>
              </w:rPr>
            </w:pPr>
          </w:p>
        </w:tc>
      </w:tr>
      <w:tr w14:paraId="31FCBF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F2B9B02">
            <w:pPr>
              <w:rPr>
                <w:rFonts w:hint="eastAsia" w:ascii="仿宋" w:hAnsi="仿宋" w:eastAsia="仿宋" w:cs="仿宋"/>
                <w:sz w:val="32"/>
                <w:szCs w:val="32"/>
                <w:lang w:eastAsia="zh-CN"/>
              </w:rPr>
            </w:pPr>
          </w:p>
        </w:tc>
        <w:tc>
          <w:tcPr>
            <w:shd w:val="clear" w:color="auto" w:fill="auto"/>
            <w:vAlign w:val="center"/>
          </w:tcPr>
          <w:p w14:paraId="1244D616">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1FA97885">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（1）影响到周边居民及生态环境，引起居民抗争。</w:t>
            </w:r>
          </w:p>
        </w:tc>
        <w:tc>
          <w:tcPr>
            <w:vMerge w:val="continue"/>
            <w:shd w:val="clear" w:color="auto" w:fill="auto"/>
            <w:vAlign w:val="center"/>
          </w:tcPr>
          <w:p w14:paraId="099C8A51">
            <w:pPr>
              <w:rPr>
                <w:rFonts w:hint="eastAsia" w:ascii="仿宋" w:hAnsi="仿宋" w:eastAsia="仿宋" w:cs="仿宋"/>
                <w:sz w:val="32"/>
                <w:szCs w:val="32"/>
                <w:lang w:eastAsia="zh-CN"/>
              </w:rPr>
            </w:pPr>
          </w:p>
        </w:tc>
      </w:tr>
      <w:tr w14:paraId="335D9C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91DE2BC">
            <w:pPr>
              <w:rPr>
                <w:rFonts w:hint="eastAsia" w:ascii="仿宋" w:hAnsi="仿宋" w:eastAsia="仿宋" w:cs="仿宋"/>
                <w:sz w:val="32"/>
                <w:szCs w:val="32"/>
                <w:lang w:eastAsia="zh-CN"/>
              </w:rPr>
            </w:pPr>
          </w:p>
        </w:tc>
        <w:tc>
          <w:tcPr>
            <w:shd w:val="clear" w:color="auto" w:fill="auto"/>
            <w:vAlign w:val="center"/>
          </w:tcPr>
          <w:p w14:paraId="5EA5ED03">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4FE4B9AF">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（1）造成1～2例难治愈或造成3～9例可治愈的职业病；</w:t>
            </w:r>
            <w:r>
              <w:rPr>
                <w:rFonts w:hint="eastAsia" w:ascii="仿宋" w:hAnsi="仿宋" w:eastAsia="仿宋" w:cs="仿宋"/>
                <w:sz w:val="32"/>
                <w:szCs w:val="32"/>
              </w:rPr>
              <w:br w:type="textWrapping"/>
            </w:r>
            <w:r>
              <w:rPr>
                <w:rFonts w:hint="eastAsia" w:ascii="仿宋" w:hAnsi="仿宋" w:eastAsia="仿宋" w:cs="仿宋"/>
                <w:sz w:val="32"/>
                <w:szCs w:val="32"/>
              </w:rPr>
              <w:t>（2）造成9例以上与职业有关的疾病。</w:t>
            </w:r>
          </w:p>
        </w:tc>
        <w:tc>
          <w:tcPr>
            <w:vMerge w:val="continue"/>
            <w:shd w:val="clear" w:color="auto" w:fill="auto"/>
            <w:vAlign w:val="center"/>
          </w:tcPr>
          <w:p w14:paraId="40F3F5FF">
            <w:pPr>
              <w:rPr>
                <w:rFonts w:hint="eastAsia" w:ascii="仿宋" w:hAnsi="仿宋" w:eastAsia="仿宋" w:cs="仿宋"/>
                <w:sz w:val="32"/>
                <w:szCs w:val="32"/>
                <w:lang w:eastAsia="zh-CN"/>
              </w:rPr>
            </w:pPr>
          </w:p>
        </w:tc>
      </w:tr>
      <w:tr w14:paraId="507E8E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33E0EC7C">
            <w:pPr>
              <w:pStyle w:val="15"/>
              <w:jc w:val="center"/>
              <w:rPr>
                <w:rFonts w:hint="eastAsia" w:ascii="仿宋" w:hAnsi="仿宋" w:eastAsia="仿宋" w:cs="仿宋"/>
                <w:sz w:val="32"/>
                <w:szCs w:val="32"/>
              </w:rPr>
            </w:pPr>
            <w:r>
              <w:rPr>
                <w:rFonts w:hint="eastAsia" w:ascii="仿宋" w:hAnsi="仿宋" w:eastAsia="仿宋" w:cs="仿宋"/>
                <w:sz w:val="32"/>
                <w:szCs w:val="32"/>
              </w:rPr>
              <w:t>4</w:t>
            </w:r>
          </w:p>
        </w:tc>
        <w:tc>
          <w:tcPr>
            <w:shd w:val="clear" w:color="auto" w:fill="auto"/>
            <w:vAlign w:val="center"/>
          </w:tcPr>
          <w:p w14:paraId="11142057">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1212027E">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（1）造成轻伤3人以上。</w:t>
            </w:r>
          </w:p>
        </w:tc>
        <w:tc>
          <w:tcPr>
            <w:vMerge w:val="restart"/>
            <w:shd w:val="clear" w:color="auto" w:fill="auto"/>
            <w:vAlign w:val="center"/>
          </w:tcPr>
          <w:p w14:paraId="1BFC9E5D">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15</w:t>
            </w:r>
          </w:p>
        </w:tc>
      </w:tr>
      <w:tr w14:paraId="6070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831DCB1">
            <w:pPr>
              <w:rPr>
                <w:rFonts w:hint="eastAsia" w:ascii="仿宋" w:hAnsi="仿宋" w:eastAsia="仿宋" w:cs="仿宋"/>
                <w:sz w:val="32"/>
                <w:szCs w:val="32"/>
                <w:lang w:eastAsia="zh-CN"/>
              </w:rPr>
            </w:pPr>
          </w:p>
        </w:tc>
        <w:tc>
          <w:tcPr>
            <w:shd w:val="clear" w:color="auto" w:fill="auto"/>
            <w:vAlign w:val="center"/>
          </w:tcPr>
          <w:p w14:paraId="00486ACB">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7BCD12E9">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（1）造成设备或财产损失在10万元到50万元之间。</w:t>
            </w:r>
          </w:p>
        </w:tc>
        <w:tc>
          <w:tcPr>
            <w:vMerge w:val="continue"/>
            <w:shd w:val="clear" w:color="auto" w:fill="auto"/>
            <w:vAlign w:val="center"/>
          </w:tcPr>
          <w:p w14:paraId="6EB31553">
            <w:pPr>
              <w:rPr>
                <w:rFonts w:hint="eastAsia" w:ascii="仿宋" w:hAnsi="仿宋" w:eastAsia="仿宋" w:cs="仿宋"/>
                <w:sz w:val="32"/>
                <w:szCs w:val="32"/>
                <w:lang w:eastAsia="zh-CN"/>
              </w:rPr>
            </w:pPr>
          </w:p>
        </w:tc>
      </w:tr>
      <w:tr w14:paraId="0CBC5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AF6CCC8">
            <w:pPr>
              <w:rPr>
                <w:rFonts w:hint="eastAsia" w:ascii="仿宋" w:hAnsi="仿宋" w:eastAsia="仿宋" w:cs="仿宋"/>
                <w:sz w:val="32"/>
                <w:szCs w:val="32"/>
                <w:lang w:eastAsia="zh-CN"/>
              </w:rPr>
            </w:pPr>
          </w:p>
        </w:tc>
        <w:tc>
          <w:tcPr>
            <w:shd w:val="clear" w:color="auto" w:fill="auto"/>
            <w:vAlign w:val="center"/>
          </w:tcPr>
          <w:p w14:paraId="5E805A7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568BBE00">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（1）造成设备一类障碍。</w:t>
            </w:r>
          </w:p>
        </w:tc>
        <w:tc>
          <w:tcPr>
            <w:vMerge w:val="continue"/>
            <w:shd w:val="clear" w:color="auto" w:fill="auto"/>
            <w:vAlign w:val="center"/>
          </w:tcPr>
          <w:p w14:paraId="1B539B05">
            <w:pPr>
              <w:rPr>
                <w:rFonts w:hint="eastAsia" w:ascii="仿宋" w:hAnsi="仿宋" w:eastAsia="仿宋" w:cs="仿宋"/>
                <w:sz w:val="32"/>
                <w:szCs w:val="32"/>
                <w:lang w:eastAsia="zh-CN"/>
              </w:rPr>
            </w:pPr>
          </w:p>
        </w:tc>
      </w:tr>
      <w:tr w14:paraId="21F39E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4F1E422">
            <w:pPr>
              <w:rPr>
                <w:rFonts w:hint="eastAsia" w:ascii="仿宋" w:hAnsi="仿宋" w:eastAsia="仿宋" w:cs="仿宋"/>
                <w:sz w:val="32"/>
                <w:szCs w:val="32"/>
                <w:lang w:eastAsia="zh-CN"/>
              </w:rPr>
            </w:pPr>
          </w:p>
        </w:tc>
        <w:tc>
          <w:tcPr>
            <w:shd w:val="clear" w:color="auto" w:fill="auto"/>
            <w:vAlign w:val="center"/>
          </w:tcPr>
          <w:p w14:paraId="131B36D6">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1FB0BAE1">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（1）对周边居民及环境有些影响，引起居民抱怨、投诉。</w:t>
            </w:r>
          </w:p>
        </w:tc>
        <w:tc>
          <w:tcPr>
            <w:vMerge w:val="continue"/>
            <w:shd w:val="clear" w:color="auto" w:fill="auto"/>
            <w:vAlign w:val="center"/>
          </w:tcPr>
          <w:p w14:paraId="2C304C89">
            <w:pPr>
              <w:rPr>
                <w:rFonts w:hint="eastAsia" w:ascii="仿宋" w:hAnsi="仿宋" w:eastAsia="仿宋" w:cs="仿宋"/>
                <w:sz w:val="32"/>
                <w:szCs w:val="32"/>
                <w:lang w:eastAsia="zh-CN"/>
              </w:rPr>
            </w:pPr>
          </w:p>
        </w:tc>
      </w:tr>
      <w:tr w14:paraId="4546D3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7A1EAD0">
            <w:pPr>
              <w:rPr>
                <w:rFonts w:hint="eastAsia" w:ascii="仿宋" w:hAnsi="仿宋" w:eastAsia="仿宋" w:cs="仿宋"/>
                <w:sz w:val="32"/>
                <w:szCs w:val="32"/>
                <w:lang w:eastAsia="zh-CN"/>
              </w:rPr>
            </w:pPr>
          </w:p>
        </w:tc>
        <w:tc>
          <w:tcPr>
            <w:shd w:val="clear" w:color="auto" w:fill="auto"/>
            <w:vAlign w:val="center"/>
          </w:tcPr>
          <w:p w14:paraId="7492032D">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5DC65EF1">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（1）造成1～2例可治愈的职业病；</w:t>
            </w:r>
            <w:r>
              <w:rPr>
                <w:rFonts w:hint="eastAsia" w:ascii="仿宋" w:hAnsi="仿宋" w:eastAsia="仿宋" w:cs="仿宋"/>
                <w:sz w:val="32"/>
                <w:szCs w:val="32"/>
              </w:rPr>
              <w:br w:type="textWrapping"/>
            </w:r>
            <w:r>
              <w:rPr>
                <w:rFonts w:hint="eastAsia" w:ascii="仿宋" w:hAnsi="仿宋" w:eastAsia="仿宋" w:cs="仿宋"/>
                <w:sz w:val="32"/>
                <w:szCs w:val="32"/>
              </w:rPr>
              <w:t>（2）造成3～9例与职业有关的疾病。</w:t>
            </w:r>
          </w:p>
        </w:tc>
        <w:tc>
          <w:tcPr>
            <w:vMerge w:val="continue"/>
            <w:shd w:val="clear" w:color="auto" w:fill="auto"/>
            <w:vAlign w:val="center"/>
          </w:tcPr>
          <w:p w14:paraId="012BCCF0">
            <w:pPr>
              <w:rPr>
                <w:rFonts w:hint="eastAsia" w:ascii="仿宋" w:hAnsi="仿宋" w:eastAsia="仿宋" w:cs="仿宋"/>
                <w:sz w:val="32"/>
                <w:szCs w:val="32"/>
                <w:lang w:eastAsia="zh-CN"/>
              </w:rPr>
            </w:pPr>
          </w:p>
        </w:tc>
      </w:tr>
      <w:tr w14:paraId="7E8F48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2ECD0A85">
            <w:pPr>
              <w:pStyle w:val="15"/>
              <w:jc w:val="center"/>
              <w:rPr>
                <w:rFonts w:hint="eastAsia" w:ascii="仿宋" w:hAnsi="仿宋" w:eastAsia="仿宋" w:cs="仿宋"/>
                <w:sz w:val="32"/>
                <w:szCs w:val="32"/>
              </w:rPr>
            </w:pPr>
            <w:r>
              <w:rPr>
                <w:rFonts w:hint="eastAsia" w:ascii="仿宋" w:hAnsi="仿宋" w:eastAsia="仿宋" w:cs="仿宋"/>
                <w:sz w:val="32"/>
                <w:szCs w:val="32"/>
              </w:rPr>
              <w:t>5</w:t>
            </w:r>
          </w:p>
        </w:tc>
        <w:tc>
          <w:tcPr>
            <w:shd w:val="clear" w:color="auto" w:fill="auto"/>
            <w:vAlign w:val="center"/>
          </w:tcPr>
          <w:p w14:paraId="45B6F4F0">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4E0A2DB6">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（1）造成轻伤1～2人。</w:t>
            </w:r>
          </w:p>
        </w:tc>
        <w:tc>
          <w:tcPr>
            <w:vMerge w:val="restart"/>
            <w:shd w:val="clear" w:color="auto" w:fill="auto"/>
            <w:vAlign w:val="center"/>
          </w:tcPr>
          <w:p w14:paraId="3BE3CCB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w:t>
            </w:r>
          </w:p>
        </w:tc>
      </w:tr>
      <w:tr w14:paraId="189C5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E96A9DC">
            <w:pPr>
              <w:rPr>
                <w:rFonts w:hint="eastAsia" w:ascii="仿宋" w:hAnsi="仿宋" w:eastAsia="仿宋" w:cs="仿宋"/>
                <w:sz w:val="32"/>
                <w:szCs w:val="32"/>
                <w:lang w:eastAsia="zh-CN"/>
              </w:rPr>
            </w:pPr>
          </w:p>
        </w:tc>
        <w:tc>
          <w:tcPr>
            <w:shd w:val="clear" w:color="auto" w:fill="auto"/>
            <w:vAlign w:val="center"/>
          </w:tcPr>
          <w:p w14:paraId="1203768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0C0233F5">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（1）造成设备或财产损失在2万元到10万元之间。</w:t>
            </w:r>
          </w:p>
        </w:tc>
        <w:tc>
          <w:tcPr>
            <w:vMerge w:val="continue"/>
            <w:shd w:val="clear" w:color="auto" w:fill="auto"/>
            <w:vAlign w:val="center"/>
          </w:tcPr>
          <w:p w14:paraId="5F93966A">
            <w:pPr>
              <w:rPr>
                <w:rFonts w:hint="eastAsia" w:ascii="仿宋" w:hAnsi="仿宋" w:eastAsia="仿宋" w:cs="仿宋"/>
                <w:sz w:val="32"/>
                <w:szCs w:val="32"/>
                <w:lang w:eastAsia="zh-CN"/>
              </w:rPr>
            </w:pPr>
          </w:p>
        </w:tc>
      </w:tr>
      <w:tr w14:paraId="7F2684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13E5310">
            <w:pPr>
              <w:rPr>
                <w:rFonts w:hint="eastAsia" w:ascii="仿宋" w:hAnsi="仿宋" w:eastAsia="仿宋" w:cs="仿宋"/>
                <w:sz w:val="32"/>
                <w:szCs w:val="32"/>
                <w:lang w:eastAsia="zh-CN"/>
              </w:rPr>
            </w:pPr>
          </w:p>
        </w:tc>
        <w:tc>
          <w:tcPr>
            <w:shd w:val="clear" w:color="auto" w:fill="auto"/>
            <w:vAlign w:val="center"/>
          </w:tcPr>
          <w:p w14:paraId="7F415C7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6A8905A0">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（1）造成设备二类障碍。</w:t>
            </w:r>
          </w:p>
        </w:tc>
        <w:tc>
          <w:tcPr>
            <w:vMerge w:val="continue"/>
            <w:shd w:val="clear" w:color="auto" w:fill="auto"/>
            <w:vAlign w:val="center"/>
          </w:tcPr>
          <w:p w14:paraId="374F6987">
            <w:pPr>
              <w:rPr>
                <w:rFonts w:hint="eastAsia" w:ascii="仿宋" w:hAnsi="仿宋" w:eastAsia="仿宋" w:cs="仿宋"/>
                <w:sz w:val="32"/>
                <w:szCs w:val="32"/>
                <w:lang w:eastAsia="zh-CN"/>
              </w:rPr>
            </w:pPr>
          </w:p>
        </w:tc>
      </w:tr>
      <w:tr w14:paraId="2B944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D66B2E3">
            <w:pPr>
              <w:rPr>
                <w:rFonts w:hint="eastAsia" w:ascii="仿宋" w:hAnsi="仿宋" w:eastAsia="仿宋" w:cs="仿宋"/>
                <w:sz w:val="32"/>
                <w:szCs w:val="32"/>
                <w:lang w:eastAsia="zh-CN"/>
              </w:rPr>
            </w:pPr>
          </w:p>
        </w:tc>
        <w:tc>
          <w:tcPr>
            <w:shd w:val="clear" w:color="auto" w:fill="auto"/>
            <w:vAlign w:val="center"/>
          </w:tcPr>
          <w:p w14:paraId="7E021365">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4D0FEE96">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（1）轻度影响到周边居民及小范围（现场）生态环境。</w:t>
            </w:r>
          </w:p>
        </w:tc>
        <w:tc>
          <w:tcPr>
            <w:vMerge w:val="continue"/>
            <w:shd w:val="clear" w:color="auto" w:fill="auto"/>
            <w:vAlign w:val="center"/>
          </w:tcPr>
          <w:p w14:paraId="40402D92">
            <w:pPr>
              <w:rPr>
                <w:rFonts w:hint="eastAsia" w:ascii="仿宋" w:hAnsi="仿宋" w:eastAsia="仿宋" w:cs="仿宋"/>
                <w:sz w:val="32"/>
                <w:szCs w:val="32"/>
                <w:lang w:eastAsia="zh-CN"/>
              </w:rPr>
            </w:pPr>
          </w:p>
        </w:tc>
      </w:tr>
      <w:tr w14:paraId="33F0B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D079F45">
            <w:pPr>
              <w:rPr>
                <w:rFonts w:hint="eastAsia" w:ascii="仿宋" w:hAnsi="仿宋" w:eastAsia="仿宋" w:cs="仿宋"/>
                <w:sz w:val="32"/>
                <w:szCs w:val="32"/>
                <w:lang w:eastAsia="zh-CN"/>
              </w:rPr>
            </w:pPr>
          </w:p>
        </w:tc>
        <w:tc>
          <w:tcPr>
            <w:shd w:val="clear" w:color="auto" w:fill="auto"/>
            <w:vAlign w:val="center"/>
          </w:tcPr>
          <w:p w14:paraId="265A03A5">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0117B486">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（1）造成1～2例与职业有关的疾病；</w:t>
            </w:r>
            <w:r>
              <w:rPr>
                <w:rFonts w:hint="eastAsia" w:ascii="仿宋" w:hAnsi="仿宋" w:eastAsia="仿宋" w:cs="仿宋"/>
                <w:sz w:val="32"/>
                <w:szCs w:val="32"/>
              </w:rPr>
              <w:br w:type="textWrapping"/>
            </w:r>
            <w:r>
              <w:rPr>
                <w:rFonts w:hint="eastAsia" w:ascii="仿宋" w:hAnsi="仿宋" w:eastAsia="仿宋" w:cs="仿宋"/>
                <w:sz w:val="32"/>
                <w:szCs w:val="32"/>
              </w:rPr>
              <w:t>（2）造成3～9例有影响健康的事件。</w:t>
            </w:r>
          </w:p>
        </w:tc>
        <w:tc>
          <w:tcPr>
            <w:vMerge w:val="continue"/>
            <w:shd w:val="clear" w:color="auto" w:fill="auto"/>
            <w:vAlign w:val="center"/>
          </w:tcPr>
          <w:p w14:paraId="4E6E01D4">
            <w:pPr>
              <w:rPr>
                <w:rFonts w:hint="eastAsia" w:ascii="仿宋" w:hAnsi="仿宋" w:eastAsia="仿宋" w:cs="仿宋"/>
                <w:sz w:val="32"/>
                <w:szCs w:val="32"/>
                <w:lang w:eastAsia="zh-CN"/>
              </w:rPr>
            </w:pPr>
          </w:p>
        </w:tc>
      </w:tr>
      <w:tr w14:paraId="7E07AE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499CE40">
            <w:pPr>
              <w:pStyle w:val="15"/>
              <w:jc w:val="center"/>
              <w:rPr>
                <w:rFonts w:hint="eastAsia" w:ascii="仿宋" w:hAnsi="仿宋" w:eastAsia="仿宋" w:cs="仿宋"/>
                <w:sz w:val="32"/>
                <w:szCs w:val="32"/>
              </w:rPr>
            </w:pPr>
            <w:r>
              <w:rPr>
                <w:rFonts w:hint="eastAsia" w:ascii="仿宋" w:hAnsi="仿宋" w:eastAsia="仿宋" w:cs="仿宋"/>
                <w:sz w:val="32"/>
                <w:szCs w:val="32"/>
              </w:rPr>
              <w:t>6</w:t>
            </w:r>
          </w:p>
        </w:tc>
        <w:tc>
          <w:tcPr>
            <w:shd w:val="clear" w:color="auto" w:fill="auto"/>
            <w:vAlign w:val="center"/>
          </w:tcPr>
          <w:p w14:paraId="584D3A8F">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32431D6C">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（1）可能造成人员轻微的伤害（小的割伤、擦伤、撞伤）。</w:t>
            </w:r>
          </w:p>
        </w:tc>
        <w:tc>
          <w:tcPr>
            <w:vMerge w:val="restart"/>
            <w:shd w:val="clear" w:color="auto" w:fill="auto"/>
            <w:vAlign w:val="center"/>
          </w:tcPr>
          <w:p w14:paraId="153707F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r>
      <w:tr w14:paraId="11112D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A89CBCF">
            <w:pPr>
              <w:rPr>
                <w:rFonts w:hint="eastAsia" w:ascii="仿宋" w:hAnsi="仿宋" w:eastAsia="仿宋" w:cs="仿宋"/>
                <w:sz w:val="32"/>
                <w:szCs w:val="32"/>
                <w:lang w:eastAsia="zh-CN"/>
              </w:rPr>
            </w:pPr>
          </w:p>
        </w:tc>
        <w:tc>
          <w:tcPr>
            <w:shd w:val="clear" w:color="auto" w:fill="auto"/>
            <w:vAlign w:val="center"/>
          </w:tcPr>
          <w:p w14:paraId="43CBDDD2">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1BBA8500">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（1）可能造成设备或财产损失在2万元以下。</w:t>
            </w:r>
          </w:p>
        </w:tc>
        <w:tc>
          <w:tcPr>
            <w:vMerge w:val="continue"/>
            <w:shd w:val="clear" w:color="auto" w:fill="auto"/>
            <w:vAlign w:val="center"/>
          </w:tcPr>
          <w:p w14:paraId="1DE01A8A">
            <w:pPr>
              <w:rPr>
                <w:rFonts w:hint="eastAsia" w:ascii="仿宋" w:hAnsi="仿宋" w:eastAsia="仿宋" w:cs="仿宋"/>
                <w:sz w:val="32"/>
                <w:szCs w:val="32"/>
                <w:lang w:eastAsia="zh-CN"/>
              </w:rPr>
            </w:pPr>
          </w:p>
        </w:tc>
      </w:tr>
      <w:tr w14:paraId="2089F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9D40009">
            <w:pPr>
              <w:rPr>
                <w:rFonts w:hint="eastAsia" w:ascii="仿宋" w:hAnsi="仿宋" w:eastAsia="仿宋" w:cs="仿宋"/>
                <w:sz w:val="32"/>
                <w:szCs w:val="32"/>
                <w:lang w:eastAsia="zh-CN"/>
              </w:rPr>
            </w:pPr>
          </w:p>
        </w:tc>
        <w:tc>
          <w:tcPr>
            <w:shd w:val="clear" w:color="auto" w:fill="auto"/>
            <w:vAlign w:val="center"/>
          </w:tcPr>
          <w:p w14:paraId="7C3990E2">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489190A3">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（1）造成设备异常。</w:t>
            </w:r>
          </w:p>
        </w:tc>
        <w:tc>
          <w:tcPr>
            <w:vMerge w:val="continue"/>
            <w:shd w:val="clear" w:color="auto" w:fill="auto"/>
            <w:vAlign w:val="center"/>
          </w:tcPr>
          <w:p w14:paraId="558CD39B">
            <w:pPr>
              <w:rPr>
                <w:rFonts w:hint="eastAsia" w:ascii="仿宋" w:hAnsi="仿宋" w:eastAsia="仿宋" w:cs="仿宋"/>
                <w:sz w:val="32"/>
                <w:szCs w:val="32"/>
                <w:lang w:eastAsia="zh-CN"/>
              </w:rPr>
            </w:pPr>
          </w:p>
        </w:tc>
      </w:tr>
      <w:tr w14:paraId="5663F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8BDFEBB">
            <w:pPr>
              <w:rPr>
                <w:rFonts w:hint="eastAsia" w:ascii="仿宋" w:hAnsi="仿宋" w:eastAsia="仿宋" w:cs="仿宋"/>
                <w:sz w:val="32"/>
                <w:szCs w:val="32"/>
                <w:lang w:eastAsia="zh-CN"/>
              </w:rPr>
            </w:pPr>
          </w:p>
        </w:tc>
        <w:tc>
          <w:tcPr>
            <w:shd w:val="clear" w:color="auto" w:fill="auto"/>
            <w:vAlign w:val="center"/>
          </w:tcPr>
          <w:p w14:paraId="34AED6BE">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3F1589E0">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（1）对现场景观有轻度影响。</w:t>
            </w:r>
          </w:p>
        </w:tc>
        <w:tc>
          <w:tcPr>
            <w:vMerge w:val="continue"/>
            <w:shd w:val="clear" w:color="auto" w:fill="auto"/>
            <w:vAlign w:val="center"/>
          </w:tcPr>
          <w:p w14:paraId="6339FF18">
            <w:pPr>
              <w:rPr>
                <w:rFonts w:hint="eastAsia" w:ascii="仿宋" w:hAnsi="仿宋" w:eastAsia="仿宋" w:cs="仿宋"/>
                <w:sz w:val="32"/>
                <w:szCs w:val="32"/>
                <w:lang w:eastAsia="zh-CN"/>
              </w:rPr>
            </w:pPr>
          </w:p>
        </w:tc>
      </w:tr>
      <w:tr w14:paraId="07FEDE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771EAAD">
            <w:pPr>
              <w:rPr>
                <w:rFonts w:hint="eastAsia" w:ascii="仿宋" w:hAnsi="仿宋" w:eastAsia="仿宋" w:cs="仿宋"/>
                <w:sz w:val="32"/>
                <w:szCs w:val="32"/>
                <w:lang w:eastAsia="zh-CN"/>
              </w:rPr>
            </w:pPr>
          </w:p>
        </w:tc>
        <w:tc>
          <w:tcPr>
            <w:shd w:val="clear" w:color="auto" w:fill="auto"/>
            <w:vAlign w:val="center"/>
          </w:tcPr>
          <w:p w14:paraId="1284730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3EFF9A7D">
            <w:pPr>
              <w:pStyle w:val="15"/>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（1）可能造成1～2例有健康影响的事件。</w:t>
            </w:r>
          </w:p>
        </w:tc>
        <w:tc>
          <w:tcPr>
            <w:vMerge w:val="continue"/>
            <w:shd w:val="clear" w:color="auto" w:fill="auto"/>
            <w:vAlign w:val="center"/>
          </w:tcPr>
          <w:p w14:paraId="7F61CEE2">
            <w:pPr>
              <w:rPr>
                <w:rFonts w:hint="eastAsia" w:ascii="仿宋" w:hAnsi="仿宋" w:eastAsia="仿宋" w:cs="仿宋"/>
                <w:sz w:val="32"/>
                <w:szCs w:val="32"/>
                <w:lang w:eastAsia="zh-CN"/>
              </w:rPr>
            </w:pPr>
          </w:p>
        </w:tc>
      </w:tr>
    </w:tbl>
    <w:p w14:paraId="2B51614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eastAsia" w:ascii="仿宋" w:hAnsi="仿宋" w:eastAsia="仿宋" w:cs="仿宋"/>
          <w:b/>
          <w:bCs/>
          <w:sz w:val="32"/>
          <w:szCs w:val="32"/>
        </w:rPr>
      </w:pPr>
    </w:p>
    <w:p w14:paraId="3672D60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表4</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风险等级（D=L×E×C）标准</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2134"/>
        <w:gridCol w:w="3678"/>
        <w:gridCol w:w="2710"/>
      </w:tblGrid>
      <w:tr w14:paraId="30E2F3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34" w:type="dxa"/>
            <w:shd w:val="clear" w:color="auto" w:fill="auto"/>
            <w:vAlign w:val="center"/>
          </w:tcPr>
          <w:p w14:paraId="641FA2FC">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tcW w:w="3678" w:type="dxa"/>
            <w:shd w:val="clear" w:color="auto" w:fill="auto"/>
            <w:vAlign w:val="center"/>
          </w:tcPr>
          <w:p w14:paraId="045DEEAA">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风险等级</w:t>
            </w:r>
          </w:p>
        </w:tc>
        <w:tc>
          <w:tcPr>
            <w:tcW w:w="2710" w:type="dxa"/>
            <w:shd w:val="clear" w:color="auto" w:fill="auto"/>
            <w:vAlign w:val="center"/>
          </w:tcPr>
          <w:p w14:paraId="2138C4C9">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判定条件</w:t>
            </w:r>
          </w:p>
        </w:tc>
      </w:tr>
      <w:tr w14:paraId="3E3164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34" w:type="dxa"/>
            <w:shd w:val="clear" w:color="auto" w:fill="auto"/>
            <w:vAlign w:val="center"/>
          </w:tcPr>
          <w:p w14:paraId="18B1AD8D">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c>
          <w:tcPr>
            <w:tcW w:w="3678" w:type="dxa"/>
            <w:shd w:val="clear" w:color="auto" w:fill="auto"/>
            <w:vAlign w:val="center"/>
          </w:tcPr>
          <w:p w14:paraId="6E0F9E7E">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重大风险</w:t>
            </w:r>
          </w:p>
        </w:tc>
        <w:tc>
          <w:tcPr>
            <w:tcW w:w="2710" w:type="dxa"/>
            <w:shd w:val="clear" w:color="auto" w:fill="auto"/>
            <w:vAlign w:val="center"/>
          </w:tcPr>
          <w:p w14:paraId="6BB11817">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D≥400</w:t>
            </w:r>
          </w:p>
        </w:tc>
      </w:tr>
      <w:tr w14:paraId="19045E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34" w:type="dxa"/>
            <w:shd w:val="clear" w:color="auto" w:fill="auto"/>
            <w:vAlign w:val="center"/>
          </w:tcPr>
          <w:p w14:paraId="052A3B32">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c>
          <w:tcPr>
            <w:tcW w:w="3678" w:type="dxa"/>
            <w:shd w:val="clear" w:color="auto" w:fill="auto"/>
            <w:vAlign w:val="center"/>
          </w:tcPr>
          <w:p w14:paraId="21BBF99B">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较大风险</w:t>
            </w:r>
          </w:p>
        </w:tc>
        <w:tc>
          <w:tcPr>
            <w:tcW w:w="2710" w:type="dxa"/>
            <w:shd w:val="clear" w:color="auto" w:fill="auto"/>
            <w:vAlign w:val="center"/>
          </w:tcPr>
          <w:p w14:paraId="51F72F39">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200≤D＜400</w:t>
            </w:r>
          </w:p>
        </w:tc>
      </w:tr>
      <w:tr w14:paraId="08218F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134" w:type="dxa"/>
            <w:shd w:val="clear" w:color="auto" w:fill="auto"/>
            <w:vAlign w:val="center"/>
          </w:tcPr>
          <w:p w14:paraId="233F1529">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c>
          <w:tcPr>
            <w:tcW w:w="3678" w:type="dxa"/>
            <w:shd w:val="clear" w:color="auto" w:fill="auto"/>
            <w:vAlign w:val="center"/>
          </w:tcPr>
          <w:p w14:paraId="0DAD955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一般风险</w:t>
            </w:r>
          </w:p>
        </w:tc>
        <w:tc>
          <w:tcPr>
            <w:tcW w:w="2710" w:type="dxa"/>
            <w:shd w:val="clear" w:color="auto" w:fill="auto"/>
            <w:vAlign w:val="center"/>
          </w:tcPr>
          <w:p w14:paraId="17B32418">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70≤D＜200</w:t>
            </w:r>
          </w:p>
        </w:tc>
      </w:tr>
      <w:tr w14:paraId="3B8AB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88" w:hRule="atLeast"/>
          <w:jc w:val="center"/>
        </w:trPr>
        <w:tc>
          <w:tcPr>
            <w:tcW w:w="2134" w:type="dxa"/>
            <w:shd w:val="clear" w:color="auto" w:fill="auto"/>
            <w:vAlign w:val="center"/>
          </w:tcPr>
          <w:p w14:paraId="2B9DE665">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4</w:t>
            </w:r>
          </w:p>
        </w:tc>
        <w:tc>
          <w:tcPr>
            <w:tcW w:w="3678" w:type="dxa"/>
            <w:shd w:val="clear" w:color="auto" w:fill="auto"/>
            <w:vAlign w:val="center"/>
          </w:tcPr>
          <w:p w14:paraId="2660B3A9">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低风险</w:t>
            </w:r>
          </w:p>
        </w:tc>
        <w:tc>
          <w:tcPr>
            <w:tcW w:w="2710" w:type="dxa"/>
            <w:shd w:val="clear" w:color="auto" w:fill="auto"/>
            <w:vAlign w:val="center"/>
          </w:tcPr>
          <w:p w14:paraId="736C3611">
            <w:pPr>
              <w:pStyle w:val="15"/>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D＜70</w:t>
            </w:r>
          </w:p>
        </w:tc>
      </w:tr>
    </w:tbl>
    <w:p w14:paraId="4A3CC5B0"/>
    <w:p w14:paraId="2D4F2974">
      <w:pPr>
        <w:pStyle w:val="5"/>
        <w:rPr>
          <w:rFonts w:hint="eastAsia"/>
          <w:lang w:val="en-US" w:eastAsia="zh-CN"/>
        </w:rPr>
      </w:pPr>
    </w:p>
    <w:p w14:paraId="7E6B7551">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spacing w:val="0"/>
          <w:sz w:val="32"/>
          <w:szCs w:val="32"/>
          <w:lang w:eastAsia="zh-CN"/>
        </w:rPr>
      </w:pPr>
    </w:p>
    <w:sectPr>
      <w:footerReference r:id="rId7" w:type="default"/>
      <w:pgSz w:w="11906" w:h="16838"/>
      <w:pgMar w:top="1440" w:right="1800" w:bottom="1440" w:left="1800" w:header="720" w:footer="72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6677F3-C019-4C99-8423-C754C0C6AB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8280956-D2C3-4561-A9F9-505616011073}"/>
  </w:font>
  <w:font w:name="仿宋">
    <w:panose1 w:val="02010609060101010101"/>
    <w:charset w:val="86"/>
    <w:family w:val="auto"/>
    <w:pitch w:val="default"/>
    <w:sig w:usb0="800002BF" w:usb1="38CF7CFA" w:usb2="00000016" w:usb3="00000000" w:csb0="00040001" w:csb1="00000000"/>
    <w:embedRegular r:id="rId3" w:fontKey="{30E497A1-A862-4AB4-9382-6664F5EC753A}"/>
  </w:font>
  <w:font w:name="方正小标宋简体">
    <w:panose1 w:val="02010600010101010101"/>
    <w:charset w:val="86"/>
    <w:family w:val="auto"/>
    <w:pitch w:val="default"/>
    <w:sig w:usb0="00000001" w:usb1="080E0000" w:usb2="00000000" w:usb3="00000000" w:csb0="00040000" w:csb1="00000000"/>
    <w:embedRegular r:id="rId4" w:fontKey="{FEAF9064-1524-4749-A048-75DF4B727115}"/>
  </w:font>
  <w:font w:name="楷体">
    <w:panose1 w:val="02010609060101010101"/>
    <w:charset w:val="86"/>
    <w:family w:val="modern"/>
    <w:pitch w:val="default"/>
    <w:sig w:usb0="800002BF" w:usb1="38CF7CFA" w:usb2="00000016" w:usb3="00000000" w:csb0="00040001" w:csb1="00000000"/>
    <w:embedRegular r:id="rId5" w:fontKey="{9760E3DF-568B-4B96-A0C6-FE0BF7058785}"/>
  </w:font>
  <w:font w:name="仿宋_GB2312">
    <w:panose1 w:val="02010609030101010101"/>
    <w:charset w:val="86"/>
    <w:family w:val="auto"/>
    <w:pitch w:val="default"/>
    <w:sig w:usb0="00000001" w:usb1="080E0000" w:usb2="00000000" w:usb3="00000000" w:csb0="00040000" w:csb1="00000000"/>
    <w:embedRegular r:id="rId6" w:fontKey="{D2E6538F-2857-4C72-8E6F-E26BEDC061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11CD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F7ADB">
    <w:pPr>
      <w:spacing w:line="265" w:lineRule="exact"/>
      <w:ind w:left="4083"/>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13A9F">
    <w:pPr>
      <w:spacing w:line="265" w:lineRule="exact"/>
      <w:ind w:left="4083"/>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BCBD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1DBCBD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371B">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B4716">
                          <w:pPr>
                            <w:pStyle w:val="7"/>
                          </w:pPr>
                          <w:r>
                            <w:t>—</w:t>
                          </w: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5B4716">
                    <w:pPr>
                      <w:pStyle w:val="7"/>
                    </w:pPr>
                    <w:r>
                      <w:t>—</w:t>
                    </w: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r>
                      <w:t>—</w:t>
                    </w:r>
                  </w:p>
                </w:txbxContent>
              </v:textbox>
            </v:shape>
          </w:pict>
        </mc:Fallback>
      </mc:AlternateContent>
    </w:r>
  </w:p>
  <w:p w14:paraId="7290EB4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ED0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63035"/>
    <w:multiLevelType w:val="singleLevel"/>
    <w:tmpl w:val="2BA630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8A331A"/>
    <w:rsid w:val="00064902"/>
    <w:rsid w:val="00177377"/>
    <w:rsid w:val="0029783B"/>
    <w:rsid w:val="0031048C"/>
    <w:rsid w:val="003E52D6"/>
    <w:rsid w:val="00444936"/>
    <w:rsid w:val="0046135C"/>
    <w:rsid w:val="00472E91"/>
    <w:rsid w:val="00596D75"/>
    <w:rsid w:val="00602424"/>
    <w:rsid w:val="00674770"/>
    <w:rsid w:val="008A331A"/>
    <w:rsid w:val="008E6287"/>
    <w:rsid w:val="00980215"/>
    <w:rsid w:val="00A54CD2"/>
    <w:rsid w:val="00B64D39"/>
    <w:rsid w:val="00C13D80"/>
    <w:rsid w:val="00C337EB"/>
    <w:rsid w:val="00C52290"/>
    <w:rsid w:val="00C55A9D"/>
    <w:rsid w:val="00C60D15"/>
    <w:rsid w:val="00D87FA5"/>
    <w:rsid w:val="00E23C00"/>
    <w:rsid w:val="00ED1757"/>
    <w:rsid w:val="00F95582"/>
    <w:rsid w:val="01233682"/>
    <w:rsid w:val="013435B5"/>
    <w:rsid w:val="014F404B"/>
    <w:rsid w:val="029702A0"/>
    <w:rsid w:val="0385459C"/>
    <w:rsid w:val="042A2AA7"/>
    <w:rsid w:val="048605CC"/>
    <w:rsid w:val="05832259"/>
    <w:rsid w:val="062E0F1B"/>
    <w:rsid w:val="06606195"/>
    <w:rsid w:val="07B74F40"/>
    <w:rsid w:val="08F66148"/>
    <w:rsid w:val="09E75075"/>
    <w:rsid w:val="09F7266F"/>
    <w:rsid w:val="0A0F3905"/>
    <w:rsid w:val="0AE70B80"/>
    <w:rsid w:val="0B460AB5"/>
    <w:rsid w:val="0B725406"/>
    <w:rsid w:val="0B956BBD"/>
    <w:rsid w:val="0BD6560F"/>
    <w:rsid w:val="0C68202D"/>
    <w:rsid w:val="0D1D0FCA"/>
    <w:rsid w:val="0D892E9F"/>
    <w:rsid w:val="0D9C0EFA"/>
    <w:rsid w:val="0DBC1B55"/>
    <w:rsid w:val="0DC52D99"/>
    <w:rsid w:val="0E010CC3"/>
    <w:rsid w:val="0E63410F"/>
    <w:rsid w:val="0E981A63"/>
    <w:rsid w:val="0F424358"/>
    <w:rsid w:val="0FA83826"/>
    <w:rsid w:val="0FB41753"/>
    <w:rsid w:val="1090632E"/>
    <w:rsid w:val="10E36DA6"/>
    <w:rsid w:val="10F20D97"/>
    <w:rsid w:val="11862732"/>
    <w:rsid w:val="1191235E"/>
    <w:rsid w:val="11B0086C"/>
    <w:rsid w:val="11F12DFD"/>
    <w:rsid w:val="122758E3"/>
    <w:rsid w:val="133438E9"/>
    <w:rsid w:val="138D6D7F"/>
    <w:rsid w:val="13E71244"/>
    <w:rsid w:val="14011A1D"/>
    <w:rsid w:val="14D13915"/>
    <w:rsid w:val="15581B10"/>
    <w:rsid w:val="156F6E5A"/>
    <w:rsid w:val="15986C6E"/>
    <w:rsid w:val="15B36D47"/>
    <w:rsid w:val="15E553FB"/>
    <w:rsid w:val="16436D08"/>
    <w:rsid w:val="16926150"/>
    <w:rsid w:val="16CE5FA6"/>
    <w:rsid w:val="1776115F"/>
    <w:rsid w:val="17D26918"/>
    <w:rsid w:val="17F460CB"/>
    <w:rsid w:val="18415F94"/>
    <w:rsid w:val="193B3703"/>
    <w:rsid w:val="19654B16"/>
    <w:rsid w:val="196A749E"/>
    <w:rsid w:val="19900A12"/>
    <w:rsid w:val="19E33973"/>
    <w:rsid w:val="1A50725A"/>
    <w:rsid w:val="1A8B64E4"/>
    <w:rsid w:val="1AA310E8"/>
    <w:rsid w:val="1B481E97"/>
    <w:rsid w:val="1B4E165A"/>
    <w:rsid w:val="1C55740C"/>
    <w:rsid w:val="1CC56BA8"/>
    <w:rsid w:val="1D6447C7"/>
    <w:rsid w:val="1DC964EA"/>
    <w:rsid w:val="1E5F5CBE"/>
    <w:rsid w:val="1F10520A"/>
    <w:rsid w:val="1F592FDB"/>
    <w:rsid w:val="1F805BBC"/>
    <w:rsid w:val="2045317E"/>
    <w:rsid w:val="204C4020"/>
    <w:rsid w:val="216043C0"/>
    <w:rsid w:val="21DC5877"/>
    <w:rsid w:val="21F26E49"/>
    <w:rsid w:val="22105521"/>
    <w:rsid w:val="22576CAC"/>
    <w:rsid w:val="22F57A83"/>
    <w:rsid w:val="237815D0"/>
    <w:rsid w:val="23B1063E"/>
    <w:rsid w:val="25367963"/>
    <w:rsid w:val="256622E7"/>
    <w:rsid w:val="25A675E6"/>
    <w:rsid w:val="26887965"/>
    <w:rsid w:val="275C62B3"/>
    <w:rsid w:val="27955378"/>
    <w:rsid w:val="281D1523"/>
    <w:rsid w:val="28ED3E72"/>
    <w:rsid w:val="29442B98"/>
    <w:rsid w:val="29F005B7"/>
    <w:rsid w:val="2A3F65DB"/>
    <w:rsid w:val="2B271A58"/>
    <w:rsid w:val="2BF56A84"/>
    <w:rsid w:val="2C551BEE"/>
    <w:rsid w:val="2D1C121E"/>
    <w:rsid w:val="2D96281E"/>
    <w:rsid w:val="2DAA4A7C"/>
    <w:rsid w:val="2DF8792B"/>
    <w:rsid w:val="2E945B61"/>
    <w:rsid w:val="2F0E655F"/>
    <w:rsid w:val="2F397E65"/>
    <w:rsid w:val="2F715851"/>
    <w:rsid w:val="301D32E3"/>
    <w:rsid w:val="30360772"/>
    <w:rsid w:val="30766E97"/>
    <w:rsid w:val="309E2DC2"/>
    <w:rsid w:val="310821E5"/>
    <w:rsid w:val="31440D43"/>
    <w:rsid w:val="32A63A63"/>
    <w:rsid w:val="32AE2ACA"/>
    <w:rsid w:val="32B048E2"/>
    <w:rsid w:val="32CA2987"/>
    <w:rsid w:val="3351311A"/>
    <w:rsid w:val="343230D5"/>
    <w:rsid w:val="343724DE"/>
    <w:rsid w:val="357F059C"/>
    <w:rsid w:val="36697EC6"/>
    <w:rsid w:val="36CC5A63"/>
    <w:rsid w:val="37B17BB1"/>
    <w:rsid w:val="383B05AB"/>
    <w:rsid w:val="384A30E3"/>
    <w:rsid w:val="38A722E3"/>
    <w:rsid w:val="390D2369"/>
    <w:rsid w:val="3A4122C4"/>
    <w:rsid w:val="3AD66EB0"/>
    <w:rsid w:val="3AE50E19"/>
    <w:rsid w:val="3B2F036E"/>
    <w:rsid w:val="3D545B2A"/>
    <w:rsid w:val="3DAE5D24"/>
    <w:rsid w:val="3E0B38B2"/>
    <w:rsid w:val="3E432AAE"/>
    <w:rsid w:val="3F6F7F6D"/>
    <w:rsid w:val="3F863274"/>
    <w:rsid w:val="3F89585D"/>
    <w:rsid w:val="3FA85DAA"/>
    <w:rsid w:val="419F0B9B"/>
    <w:rsid w:val="41AF52F5"/>
    <w:rsid w:val="42004812"/>
    <w:rsid w:val="42435277"/>
    <w:rsid w:val="42D069A7"/>
    <w:rsid w:val="43DD12AF"/>
    <w:rsid w:val="43ED0DC6"/>
    <w:rsid w:val="440F72B8"/>
    <w:rsid w:val="44F248E6"/>
    <w:rsid w:val="45393AC0"/>
    <w:rsid w:val="45DC6C56"/>
    <w:rsid w:val="45FE72BB"/>
    <w:rsid w:val="46ED2FC8"/>
    <w:rsid w:val="473E61A3"/>
    <w:rsid w:val="48AA54D8"/>
    <w:rsid w:val="49F33C95"/>
    <w:rsid w:val="4AFA62A3"/>
    <w:rsid w:val="4B0051C2"/>
    <w:rsid w:val="4BDE5BC4"/>
    <w:rsid w:val="4C3479F8"/>
    <w:rsid w:val="4D45309C"/>
    <w:rsid w:val="4D773CF6"/>
    <w:rsid w:val="4DB240E1"/>
    <w:rsid w:val="4E992277"/>
    <w:rsid w:val="4FD572DE"/>
    <w:rsid w:val="507A1C34"/>
    <w:rsid w:val="50C008D4"/>
    <w:rsid w:val="50D94BAC"/>
    <w:rsid w:val="510B6E04"/>
    <w:rsid w:val="51554621"/>
    <w:rsid w:val="517843C5"/>
    <w:rsid w:val="51B03B5F"/>
    <w:rsid w:val="521560B8"/>
    <w:rsid w:val="527B5121"/>
    <w:rsid w:val="52E42A4A"/>
    <w:rsid w:val="533B1B4E"/>
    <w:rsid w:val="53603363"/>
    <w:rsid w:val="53D006CA"/>
    <w:rsid w:val="54142BF3"/>
    <w:rsid w:val="550968A2"/>
    <w:rsid w:val="55A0380E"/>
    <w:rsid w:val="55B111C3"/>
    <w:rsid w:val="55F06C20"/>
    <w:rsid w:val="568A33FF"/>
    <w:rsid w:val="574C66A0"/>
    <w:rsid w:val="578B1008"/>
    <w:rsid w:val="5797131D"/>
    <w:rsid w:val="584C01CC"/>
    <w:rsid w:val="58603171"/>
    <w:rsid w:val="58CE55C6"/>
    <w:rsid w:val="59162F27"/>
    <w:rsid w:val="5A24682E"/>
    <w:rsid w:val="5A2F1CE1"/>
    <w:rsid w:val="5ADE0716"/>
    <w:rsid w:val="5BCA1D64"/>
    <w:rsid w:val="5BFB00CD"/>
    <w:rsid w:val="5C24476D"/>
    <w:rsid w:val="5DAC4FF3"/>
    <w:rsid w:val="5DD45079"/>
    <w:rsid w:val="5DDD57A0"/>
    <w:rsid w:val="5E4F1FBE"/>
    <w:rsid w:val="5E4F2B5D"/>
    <w:rsid w:val="5F0B4073"/>
    <w:rsid w:val="5F316150"/>
    <w:rsid w:val="5FD42AA1"/>
    <w:rsid w:val="5FE92E6B"/>
    <w:rsid w:val="600D4872"/>
    <w:rsid w:val="603B4F3C"/>
    <w:rsid w:val="61D70C94"/>
    <w:rsid w:val="61E138C1"/>
    <w:rsid w:val="623720B9"/>
    <w:rsid w:val="62522A10"/>
    <w:rsid w:val="64131199"/>
    <w:rsid w:val="64464E1C"/>
    <w:rsid w:val="646B4913"/>
    <w:rsid w:val="64744EC0"/>
    <w:rsid w:val="647B660F"/>
    <w:rsid w:val="64AD5CFB"/>
    <w:rsid w:val="64D359B4"/>
    <w:rsid w:val="64DC3C48"/>
    <w:rsid w:val="64DD5514"/>
    <w:rsid w:val="65181CEF"/>
    <w:rsid w:val="655D3BE9"/>
    <w:rsid w:val="65FA7647"/>
    <w:rsid w:val="666F3177"/>
    <w:rsid w:val="66C54162"/>
    <w:rsid w:val="6732552B"/>
    <w:rsid w:val="678B127A"/>
    <w:rsid w:val="679B4BEF"/>
    <w:rsid w:val="679D4253"/>
    <w:rsid w:val="67A41555"/>
    <w:rsid w:val="695500AA"/>
    <w:rsid w:val="699F3654"/>
    <w:rsid w:val="69F71040"/>
    <w:rsid w:val="6A6E05B7"/>
    <w:rsid w:val="6AEC173A"/>
    <w:rsid w:val="6B4D3238"/>
    <w:rsid w:val="6C4933FE"/>
    <w:rsid w:val="6CAA33C2"/>
    <w:rsid w:val="6CC62031"/>
    <w:rsid w:val="6DDA287A"/>
    <w:rsid w:val="6DF130DE"/>
    <w:rsid w:val="6E290AC9"/>
    <w:rsid w:val="6E2F3C06"/>
    <w:rsid w:val="6E602011"/>
    <w:rsid w:val="6EDD6AFE"/>
    <w:rsid w:val="6F6A75EB"/>
    <w:rsid w:val="6F80296B"/>
    <w:rsid w:val="6FD131C7"/>
    <w:rsid w:val="700E6685"/>
    <w:rsid w:val="70755A8A"/>
    <w:rsid w:val="70A26911"/>
    <w:rsid w:val="71D26C02"/>
    <w:rsid w:val="72996D22"/>
    <w:rsid w:val="73570D00"/>
    <w:rsid w:val="73682094"/>
    <w:rsid w:val="73AC320B"/>
    <w:rsid w:val="74454183"/>
    <w:rsid w:val="74964724"/>
    <w:rsid w:val="75952577"/>
    <w:rsid w:val="75C94940"/>
    <w:rsid w:val="76C05C25"/>
    <w:rsid w:val="76D0242A"/>
    <w:rsid w:val="77157517"/>
    <w:rsid w:val="776E2F89"/>
    <w:rsid w:val="77980A6E"/>
    <w:rsid w:val="77CC339C"/>
    <w:rsid w:val="77E544B6"/>
    <w:rsid w:val="78526E6F"/>
    <w:rsid w:val="786A416C"/>
    <w:rsid w:val="78E74258"/>
    <w:rsid w:val="78E81581"/>
    <w:rsid w:val="7966314A"/>
    <w:rsid w:val="79801FA1"/>
    <w:rsid w:val="7A484035"/>
    <w:rsid w:val="7AC57DCC"/>
    <w:rsid w:val="7B5B428C"/>
    <w:rsid w:val="7C0B180E"/>
    <w:rsid w:val="7E1D0C9B"/>
    <w:rsid w:val="7EDF15AE"/>
    <w:rsid w:val="7F15557D"/>
    <w:rsid w:val="7F4D0390"/>
    <w:rsid w:val="7FF1224D"/>
    <w:rsid w:val="7FF8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1"/>
    <w:pPr>
      <w:ind w:left="747"/>
      <w:outlineLvl w:val="0"/>
    </w:pPr>
    <w:rPr>
      <w:rFonts w:ascii="宋体" w:hAnsi="宋体" w:eastAsia="宋体" w:cs="宋体"/>
      <w:b/>
      <w:bCs/>
      <w:sz w:val="32"/>
      <w:szCs w:val="32"/>
      <w:lang w:val="zh-CN" w:eastAsia="zh-CN" w:bidi="zh-CN"/>
    </w:rPr>
  </w:style>
  <w:style w:type="paragraph" w:styleId="3">
    <w:name w:val="heading 2"/>
    <w:basedOn w:val="1"/>
    <w:next w:val="1"/>
    <w:qFormat/>
    <w:uiPriority w:val="1"/>
    <w:pPr>
      <w:spacing w:before="128"/>
      <w:ind w:left="668"/>
      <w:outlineLvl w:val="1"/>
    </w:pPr>
    <w:rPr>
      <w:rFonts w:ascii="宋体" w:hAnsi="宋体" w:eastAsia="宋体" w:cs="宋体"/>
      <w:b/>
      <w:bCs/>
      <w:sz w:val="28"/>
      <w:szCs w:val="28"/>
      <w:lang w:val="zh-CN" w:eastAsia="zh-CN" w:bidi="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customStyle="1" w:styleId="13">
    <w:name w:val="No Spacing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2"/>
      <w:sz w:val="32"/>
      <w:szCs w:val="32"/>
      <w:lang w:val="en-US" w:eastAsia="zh-CN" w:bidi="ar"/>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Compact"/>
    <w:basedOn w:val="5"/>
    <w:qFormat/>
    <w:uiPriority w:val="0"/>
    <w:pPr>
      <w:spacing w:before="60" w:after="60"/>
      <w:ind w:firstLine="0" w:firstLineChars="0"/>
    </w:pPr>
  </w:style>
  <w:style w:type="table" w:customStyle="1" w:styleId="16">
    <w:name w:val="Table"/>
    <w:semiHidden/>
    <w:unhideWhenUsed/>
    <w:qFormat/>
    <w:uiPriority w:val="0"/>
    <w:rPr>
      <w:rFonts w:ascii="Times New Roman" w:hAnsi="Times New Roman" w:eastAsia="仿宋"/>
      <w:sz w:val="20"/>
      <w:szCs w:val="20"/>
      <w:lang w:eastAsia="zh-CN"/>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
    <w:trPr>
      <w:jc w:val="center"/>
    </w:trPr>
    <w:tcPr>
      <w:shd w:val="clear" w:color="auto" w:fill="auto"/>
      <w:vAlign w:val="center"/>
    </w:tcPr>
    <w:tblStylePr w:type="firstRow">
      <w:rPr>
        <w:rFonts w:eastAsia="宋体"/>
        <w:b/>
        <w:i w:val="0"/>
      </w: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779bc200-8971-43a8-94d0-28ac1dc7ec2b</errorID>
      <errorWord>抢修通讯</errorWord>
      <group>L1_Word</group>
      <groupName>字词问题</groupName>
      <ability>L2_Typo</ability>
      <abilityName>字词错误</abilityName>
      <candidateList>
        <item>抢修通信</item>
      </candidateList>
      <explain/>
      <paraID> 77C8565</paraID>
      <start>41</start>
      <end>45</end>
      <status>unmodified</status>
      <modifiedWord/>
      <trackRevisions>false</trackRevisions>
    </reviewItem>
    <reviewItem>
      <errorID>26cc58e6-c035-497d-8a63-23d6257c519a</errorID>
      <errorWord>提高</errorWord>
      <group>L1_Word</group>
      <groupName>字词问题</groupName>
      <ability>L2_Typo</ability>
      <abilityName>字词错误</abilityName>
      <candidateList>
        <item>增强</item>
      </candidateList>
      <explain>“提高～意识”搭配不当，建议修改为“增强～意识”。</explain>
      <paraID>7AA72A10</paraID>
      <start>41</start>
      <end>43</end>
      <status>unmodified</status>
      <modifiedWord/>
      <trackRevisions>false</trackRevisions>
    </reviewItem>
    <reviewItem>
      <errorID>fb708359-7f24-4697-a762-13d63dcbfedf</errorID>
      <errorWord>提高</errorWord>
      <group>L1_Word</group>
      <groupName>字词问题</groupName>
      <ability>L2_Typo</ability>
      <abilityName>字词错误</abilityName>
      <candidateList>
        <item>增强</item>
      </candidateList>
      <explain>“提高～意识”搭配不当，建议修改为“增强～意识”。</explain>
      <paraID>78AFC34E</paraID>
      <start>48</start>
      <end>50</end>
      <status>unmodified</status>
      <modifiedWord/>
      <trackRevisions>false</trackRevisions>
    </reviewItem>
    <reviewItem>
      <errorID>70db6665-816c-48ca-8b5c-03997221fa87</errorID>
      <errorWord>提高</errorWord>
      <group>L1_Word</group>
      <groupName>字词问题</groupName>
      <ability>L2_Typo</ability>
      <abilityName>字词错误</abilityName>
      <candidateList>
        <item>增强</item>
      </candidateList>
      <explain>“提高～意识”搭配不当，建议修改为“增强～意识”。</explain>
      <paraID>1DB7FBC0</paraID>
      <start>96</start>
      <end>98</end>
      <status>unmodified</status>
      <modifiedWord/>
      <trackRevisions>false</trackRevisions>
    </reviewItem>
    <reviewItem>
      <errorID>1badb019-8d94-42b3-a3b5-16573cc9b8cb</errorID>
      <errorWord>；</errorWord>
      <group>L1_Word</group>
      <groupName>字词问题</groupName>
      <ability>L2_Typo</ability>
      <abilityName>字词错误</abilityName>
      <candidateList>
        <item>；在</item>
      </candidateList>
      <explain/>
      <paraID>3858107D</paraID>
      <start>49</start>
      <end>50</end>
      <status>unmodified</status>
      <modifiedWord/>
      <trackRevisions>false</trackRevisions>
    </reviewItem>
    <reviewItem>
      <errorID>e5f8fbf1-de01-4fc4-9118-4cac9a26ef78</errorID>
      <errorWord>通讯畅通</errorWord>
      <group>L1_Word</group>
      <groupName>字词问题</groupName>
      <ability>L2_Typo</ability>
      <abilityName>字词错误</abilityName>
      <candidateList>
        <item>通信畅通</item>
      </candidateList>
      <explain/>
      <paraID>7F73ABEF</paraID>
      <start>20</start>
      <end>24</end>
      <status>unmodified</status>
      <modifiedWord/>
      <trackRevisions>false</trackRevisions>
    </reviewItem>
    <reviewItem>
      <errorID>ab52f458-041d-49c0-b6a4-6f06695a123e</errorID>
      <errorWord>，</errorWord>
      <group>L1_Word</group>
      <groupName>字词问题</groupName>
      <ability>L2_Typo</ability>
      <abilityName>字词错误</abilityName>
      <candidateList>
        <item>，由</item>
      </candidateList>
      <explain/>
      <paraID>16E7E100</paraID>
      <start>35</start>
      <end>36</end>
      <status>unmodified</status>
      <modifiedWord/>
      <trackRevisions>false</trackRevisions>
    </reviewItem>
    <reviewItem>
      <errorID>0791a395-9ae9-41f3-a17f-325a69c5c39a</errorID>
      <errorWord>检测工作</errorWord>
      <group>L1_Word</group>
      <groupName>字词问题</groupName>
      <ability>L2_Typo</ability>
      <abilityName>字词错误</abilityName>
      <candidateList>
        <item>监测工作</item>
      </candidateList>
      <explain/>
      <paraID>30B6B8F7</paraID>
      <start>30</start>
      <end>34</end>
      <status>unmodified</status>
      <modifiedWord/>
      <trackRevisions>false</trackRevisions>
    </reviewItem>
    <reviewItem>
      <errorID>9e3dff35-eb4a-4664-b5ea-5ca5341f9c93</errorID>
      <errorWord>通讯畅通</errorWord>
      <group>L1_Word</group>
      <groupName>字词问题</groupName>
      <ability>L2_Typo</ability>
      <abilityName>字词错误</abilityName>
      <candidateList>
        <item>通信畅通</item>
      </candidateList>
      <explain/>
      <paraID>43E0D8A3</paraID>
      <start>71</start>
      <end>75</end>
      <status>unmodified</status>
      <modifiedWord/>
      <trackRevisions>false</trackRevisions>
    </reviewItem>
    <reviewItem>
      <errorID>2a6ea3a5-96af-46cb-8a50-c5b2285779a4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75BD4FE1</paraID>
      <start>52</start>
      <end>53</end>
      <status>unmodified</status>
      <modifiedWord/>
      <trackRevisions>false</trackRevisions>
    </reviewItem>
    <reviewItem>
      <errorID>29fa0bcd-3092-449f-a08d-6ad624d00209</errorID>
      <errorWord>提高</errorWord>
      <group>L1_Word</group>
      <groupName>字词问题</groupName>
      <ability>L2_Typo</ability>
      <abilityName>字词错误</abilityName>
      <candidateList>
        <item>增强</item>
      </candidateList>
      <explain>“提高～意识”搭配不当，建议修改为“增强～意识”。</explain>
      <paraID>7F3FB574</paraID>
      <start>31</start>
      <end>33</end>
      <status>unmodified</status>
      <modifiedWord/>
      <trackRevisions>false</trackRevisions>
    </reviewItem>
    <reviewItem>
      <errorID>7ed69645-14ec-41b3-b248-95811701ca26</errorID>
      <errorWord>法律、法规</errorWord>
      <group>L1_Word</group>
      <groupName>字词问题</groupName>
      <ability>L2_Typo</ability>
      <abilityName>字词错误</abilityName>
      <candidateList>
        <item>法律法规</item>
      </candidateList>
      <explain/>
      <paraID>3BE51F55</paraID>
      <start>5</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d4e27-369c-4b83-b047-0fe1ebe69248}">
  <ds:schemaRefs/>
</ds:datastoreItem>
</file>

<file path=docProps/app.xml><?xml version="1.0" encoding="utf-8"?>
<Properties xmlns="http://schemas.openxmlformats.org/officeDocument/2006/extended-properties" xmlns:vt="http://schemas.openxmlformats.org/officeDocument/2006/docPropsVTypes">
  <Template>Normal</Template>
  <Pages>55</Pages>
  <Words>19292</Words>
  <Characters>19615</Characters>
  <Lines>644</Lines>
  <Paragraphs>577</Paragraphs>
  <TotalTime>46</TotalTime>
  <ScaleCrop>false</ScaleCrop>
  <LinksUpToDate>false</LinksUpToDate>
  <CharactersWithSpaces>19815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2023-10-19T14:07:00Z</dcterms:created>
  <dc:creator>dreamsummit</dc:creator>
  <cp:lastModifiedBy>A</cp:lastModifiedBy>
  <cp:lastPrinted>2025-10-23T03:36:00Z</cp:lastPrinted>
  <dcterms:modified xsi:type="dcterms:W3CDTF">2026-02-02T07:11:28Z</dcterms:modified>
  <dc:title>佳木斯市东风区</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2025-09-17T09:09:04Z</vt:filetime>
  </property>
  <property fmtid="{D5CDD505-2E9C-101B-9397-08002B2CF9AE}" pid="4" name="KSOProductBuildVer">
    <vt:lpwstr>2052-12.1.0.24657</vt:lpwstr>
  </property>
  <property fmtid="{D5CDD505-2E9C-101B-9397-08002B2CF9AE}" pid="5" name="KSOTemplateDocerSaveRecord">
    <vt:lpwstr>eyJoZGlkIjoiMGQ0ODlkZjk1YWVhMmM1YjE4NTliNDE5NmJiMTdmNGMiLCJ1c2VySWQiOiIyNTc2OTIxMzcifQ==</vt:lpwstr>
  </property>
  <property fmtid="{D5CDD505-2E9C-101B-9397-08002B2CF9AE}" pid="6" name="ICV">
    <vt:lpwstr>23F5DA9CEB34410297E2A6EC75A1E6B9_13</vt:lpwstr>
  </property>
</Properties>
</file>