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7B10E">
      <w:pPr>
        <w:pStyle w:val="3"/>
        <w:rPr>
          <w:rFonts w:ascii="Times New Roman" w:hAnsi="Times New Roman" w:cs="Times New Roman"/>
        </w:rPr>
      </w:pPr>
    </w:p>
    <w:p w14:paraId="01002076">
      <w:pPr>
        <w:pStyle w:val="3"/>
        <w:rPr>
          <w:rFonts w:ascii="Times New Roman" w:hAnsi="Times New Roman" w:cs="Times New Roman"/>
        </w:rPr>
      </w:pPr>
    </w:p>
    <w:p w14:paraId="7CE9EF15">
      <w:pPr>
        <w:pStyle w:val="3"/>
        <w:rPr>
          <w:rFonts w:ascii="Times New Roman" w:hAnsi="Times New Roman" w:cs="Times New Roman"/>
        </w:rPr>
      </w:pPr>
    </w:p>
    <w:p w14:paraId="3585FCE1">
      <w:pPr>
        <w:pStyle w:val="3"/>
        <w:rPr>
          <w:rFonts w:ascii="Times New Roman" w:hAnsi="Times New Roman" w:cs="Times New Roman"/>
        </w:rPr>
      </w:pPr>
    </w:p>
    <w:p w14:paraId="704319AE">
      <w:pPr>
        <w:pStyle w:val="3"/>
        <w:rPr>
          <w:rFonts w:ascii="Times New Roman" w:hAnsi="Times New Roman" w:cs="Times New Roman"/>
        </w:rPr>
      </w:pPr>
    </w:p>
    <w:p w14:paraId="593D0F29">
      <w:pPr>
        <w:pStyle w:val="3"/>
        <w:rPr>
          <w:rFonts w:ascii="Times New Roman" w:hAnsi="Times New Roman" w:cs="Times New Roman"/>
        </w:rPr>
      </w:pPr>
    </w:p>
    <w:p w14:paraId="167B87EA">
      <w:pPr>
        <w:pStyle w:val="3"/>
        <w:rPr>
          <w:rFonts w:ascii="Times New Roman" w:hAnsi="Times New Roman" w:cs="Times New Roman"/>
        </w:rPr>
      </w:pPr>
    </w:p>
    <w:p w14:paraId="1C19E4B1">
      <w:pPr>
        <w:pStyle w:val="3"/>
        <w:rPr>
          <w:rFonts w:ascii="Times New Roman" w:hAnsi="Times New Roman" w:cs="Times New Roman"/>
        </w:rPr>
      </w:pPr>
    </w:p>
    <w:p w14:paraId="2867151F">
      <w:pPr>
        <w:pStyle w:val="3"/>
        <w:rPr>
          <w:rFonts w:ascii="Times New Roman" w:hAnsi="Times New Roman" w:cs="Times New Roman"/>
        </w:rPr>
      </w:pPr>
    </w:p>
    <w:p w14:paraId="15A2104B">
      <w:pPr>
        <w:pStyle w:val="3"/>
        <w:rPr>
          <w:rFonts w:ascii="Times New Roman" w:hAnsi="Times New Roman" w:cs="Times New Roman"/>
        </w:rPr>
      </w:pPr>
    </w:p>
    <w:p w14:paraId="0557D269">
      <w:pPr>
        <w:pStyle w:val="3"/>
        <w:rPr>
          <w:rFonts w:ascii="Times New Roman" w:hAnsi="Times New Roman" w:cs="Times New Roman"/>
        </w:rPr>
      </w:pPr>
    </w:p>
    <w:p w14:paraId="152FAC5C">
      <w:pPr>
        <w:pStyle w:val="3"/>
        <w:rPr>
          <w:rFonts w:ascii="Times New Roman" w:hAnsi="Times New Roman" w:cs="Times New Roman"/>
        </w:rPr>
      </w:pPr>
    </w:p>
    <w:p w14:paraId="60F41153">
      <w:pPr>
        <w:pStyle w:val="3"/>
        <w:rPr>
          <w:rFonts w:ascii="Times New Roman" w:hAnsi="Times New Roman" w:cs="Times New Roman"/>
        </w:rPr>
      </w:pPr>
    </w:p>
    <w:p w14:paraId="0E497712">
      <w:pPr>
        <w:pStyle w:val="3"/>
        <w:rPr>
          <w:rFonts w:ascii="Times New Roman" w:hAnsi="Times New Roman" w:cs="Times New Roman"/>
        </w:rPr>
      </w:pPr>
    </w:p>
    <w:p w14:paraId="33699FD1">
      <w:pPr>
        <w:pStyle w:val="3"/>
        <w:spacing w:line="241" w:lineRule="auto"/>
        <w:rPr>
          <w:rFonts w:ascii="Times New Roman" w:hAnsi="Times New Roman" w:cs="Times New Roman"/>
        </w:rPr>
      </w:pPr>
    </w:p>
    <w:p w14:paraId="7624EA31">
      <w:pPr>
        <w:pStyle w:val="3"/>
        <w:spacing w:line="241" w:lineRule="auto"/>
        <w:rPr>
          <w:rFonts w:ascii="Times New Roman" w:hAnsi="Times New Roman" w:cs="Times New Roman"/>
        </w:rPr>
      </w:pPr>
    </w:p>
    <w:p w14:paraId="01394EC5">
      <w:pPr>
        <w:pStyle w:val="3"/>
        <w:spacing w:line="241" w:lineRule="auto"/>
        <w:rPr>
          <w:rFonts w:ascii="Times New Roman" w:hAnsi="Times New Roman" w:cs="Times New Roman"/>
        </w:rPr>
      </w:pPr>
    </w:p>
    <w:p w14:paraId="0E8F7D83">
      <w:pPr>
        <w:keepNext w:val="0"/>
        <w:keepLines w:val="0"/>
        <w:pageBreakBefore w:val="0"/>
        <w:widowControl/>
        <w:kinsoku w:val="0"/>
        <w:wordWrap/>
        <w:overflowPunct/>
        <w:topLinePunct w:val="0"/>
        <w:autoSpaceDE w:val="0"/>
        <w:autoSpaceDN w:val="0"/>
        <w:bidi w:val="0"/>
        <w:adjustRightInd w:val="0"/>
        <w:snapToGrid w:val="0"/>
        <w:spacing w:before="140" w:line="240" w:lineRule="auto"/>
        <w:jc w:val="center"/>
        <w:textAlignment w:val="baseline"/>
        <w:rPr>
          <w:rFonts w:hint="eastAsia" w:ascii="方正小标宋简体" w:hAnsi="方正小标宋简体" w:eastAsia="方正小标宋简体" w:cs="方正小标宋简体"/>
          <w:b w:val="0"/>
          <w:bCs w:val="0"/>
          <w:spacing w:val="4"/>
          <w:sz w:val="44"/>
          <w:szCs w:val="44"/>
          <w:lang w:val="zh-CN" w:eastAsia="zh-CN"/>
        </w:rPr>
      </w:pPr>
      <w:r>
        <w:rPr>
          <w:rFonts w:hint="eastAsia" w:ascii="方正小标宋简体" w:hAnsi="方正小标宋简体" w:eastAsia="方正小标宋简体" w:cs="方正小标宋简体"/>
          <w:b w:val="0"/>
          <w:bCs w:val="0"/>
          <w:spacing w:val="4"/>
          <w:sz w:val="44"/>
          <w:szCs w:val="44"/>
          <w:lang w:val="zh-CN" w:eastAsia="zh-CN"/>
        </w:rPr>
        <w:t>佳木斯市向阳区</w:t>
      </w:r>
    </w:p>
    <w:p w14:paraId="64FF3C98">
      <w:pPr>
        <w:keepNext w:val="0"/>
        <w:keepLines w:val="0"/>
        <w:pageBreakBefore w:val="0"/>
        <w:widowControl/>
        <w:kinsoku w:val="0"/>
        <w:wordWrap/>
        <w:overflowPunct/>
        <w:topLinePunct w:val="0"/>
        <w:autoSpaceDE w:val="0"/>
        <w:autoSpaceDN w:val="0"/>
        <w:bidi w:val="0"/>
        <w:adjustRightInd w:val="0"/>
        <w:snapToGrid w:val="0"/>
        <w:spacing w:before="140" w:line="240" w:lineRule="auto"/>
        <w:jc w:val="center"/>
        <w:textAlignment w:val="baseline"/>
        <w:rPr>
          <w:rFonts w:ascii="Times New Roman" w:hAnsi="Times New Roman" w:eastAsia="宋体" w:cs="Times New Roman"/>
          <w:b w:val="0"/>
          <w:bCs w:val="0"/>
          <w:snapToGrid/>
          <w:sz w:val="44"/>
          <w:szCs w:val="44"/>
          <w:lang w:val="zh-CN" w:eastAsia="zh-CN" w:bidi="zh-CN"/>
        </w:rPr>
      </w:pPr>
      <w:r>
        <w:rPr>
          <w:rFonts w:hint="eastAsia" w:ascii="方正小标宋简体" w:hAnsi="方正小标宋简体" w:eastAsia="方正小标宋简体" w:cs="方正小标宋简体"/>
          <w:b w:val="0"/>
          <w:bCs w:val="0"/>
          <w:spacing w:val="4"/>
          <w:sz w:val="44"/>
          <w:szCs w:val="44"/>
          <w:lang w:val="zh-CN" w:eastAsia="zh-CN"/>
        </w:rPr>
        <w:t>自然灾害救助应急保障预案</w:t>
      </w:r>
    </w:p>
    <w:p w14:paraId="2EC48B84">
      <w:pPr>
        <w:spacing w:line="220" w:lineRule="auto"/>
        <w:rPr>
          <w:rFonts w:ascii="Times New Roman" w:hAnsi="Times New Roman" w:eastAsia="宋体" w:cs="Times New Roman"/>
          <w:sz w:val="52"/>
          <w:szCs w:val="52"/>
          <w:lang w:eastAsia="zh-CN"/>
        </w:rPr>
        <w:sectPr>
          <w:footerReference r:id="rId3" w:type="default"/>
          <w:pgSz w:w="11906" w:h="16839"/>
          <w:pgMar w:top="1431" w:right="1785" w:bottom="1420" w:left="1785" w:header="0" w:footer="1184" w:gutter="0"/>
          <w:pgNumType w:fmt="decimal"/>
          <w:cols w:space="720" w:num="1"/>
        </w:sectPr>
      </w:pPr>
    </w:p>
    <w:sdt>
      <w:sdtPr>
        <w:rPr>
          <w:rFonts w:hint="eastAsia" w:ascii="宋体" w:hAnsi="宋体" w:eastAsia="宋体" w:cs="宋体"/>
          <w:sz w:val="32"/>
          <w:szCs w:val="32"/>
        </w:rPr>
        <w:id w:val="147453551"/>
        <w15:color w:val="DBDBDB"/>
        <w:docPartObj>
          <w:docPartGallery w:val="Table of Contents"/>
          <w:docPartUnique/>
        </w:docPartObj>
      </w:sdtPr>
      <w:sdtEndPr>
        <w:rPr>
          <w:rFonts w:hint="eastAsia" w:ascii="仿宋_GB2312" w:hAnsi="仿宋_GB2312" w:eastAsia="仿宋_GB2312" w:cs="仿宋_GB2312"/>
          <w:bCs/>
          <w:spacing w:val="-3"/>
          <w:sz w:val="32"/>
          <w:szCs w:val="32"/>
        </w:rPr>
      </w:sdtEndPr>
      <w:sdtContent>
        <w:p w14:paraId="45292583">
          <w:pPr>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目录</w:t>
          </w:r>
        </w:p>
        <w:p w14:paraId="68F04262">
          <w:pPr>
            <w:pStyle w:val="6"/>
            <w:keepNext w:val="0"/>
            <w:keepLines w:val="0"/>
            <w:pageBreakBefore w:val="0"/>
            <w:widowControl/>
            <w:tabs>
              <w:tab w:val="right" w:leader="dot" w:pos="9088"/>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
              <w:bCs/>
              <w:spacing w:val="-3"/>
              <w:sz w:val="32"/>
              <w:szCs w:val="32"/>
            </w:rPr>
            <w:fldChar w:fldCharType="begin"/>
          </w:r>
          <w:r>
            <w:rPr>
              <w:rFonts w:hint="eastAsia" w:ascii="仿宋" w:hAnsi="仿宋" w:eastAsia="仿宋" w:cs="仿宋"/>
              <w:b/>
              <w:bCs/>
              <w:spacing w:val="-3"/>
              <w:sz w:val="32"/>
              <w:szCs w:val="32"/>
            </w:rPr>
            <w:instrText xml:space="preserve">TOC \o "1-2" \h \u </w:instrText>
          </w:r>
          <w:r>
            <w:rPr>
              <w:rFonts w:hint="eastAsia" w:ascii="仿宋" w:hAnsi="仿宋" w:eastAsia="仿宋" w:cs="仿宋"/>
              <w:b/>
              <w:bCs/>
              <w:spacing w:val="-3"/>
              <w:sz w:val="32"/>
              <w:szCs w:val="32"/>
            </w:rPr>
            <w:fldChar w:fldCharType="separate"/>
          </w: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_Toc22097 </w:instrText>
          </w:r>
          <w:r>
            <w:rPr>
              <w:rFonts w:hint="eastAsia" w:ascii="仿宋" w:hAnsi="仿宋" w:eastAsia="仿宋" w:cs="仿宋"/>
              <w:bCs/>
              <w:spacing w:val="-3"/>
              <w:sz w:val="32"/>
              <w:szCs w:val="32"/>
            </w:rPr>
            <w:fldChar w:fldCharType="separate"/>
          </w:r>
          <w:r>
            <w:rPr>
              <w:rFonts w:hint="eastAsia" w:ascii="仿宋" w:hAnsi="仿宋" w:eastAsia="仿宋" w:cs="仿宋"/>
              <w:spacing w:val="-3"/>
              <w:sz w:val="32"/>
              <w:szCs w:val="32"/>
              <w:lang w:eastAsia="zh-CN"/>
            </w:rPr>
            <w:t>一、总则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_Toc22097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7EB33A51">
          <w:pPr>
            <w:pStyle w:val="7"/>
            <w:keepNext w:val="0"/>
            <w:keepLines w:val="0"/>
            <w:pageBreakBefore w:val="0"/>
            <w:widowControl/>
            <w:tabs>
              <w:tab w:val="right" w:leader="dot" w:pos="9088"/>
            </w:tabs>
            <w:kinsoku w:val="0"/>
            <w:wordWrap/>
            <w:overflowPunct/>
            <w:topLinePunct w:val="0"/>
            <w:autoSpaceDE w:val="0"/>
            <w:autoSpaceDN w:val="0"/>
            <w:bidi w:val="0"/>
            <w:adjustRightInd w:val="0"/>
            <w:snapToGrid w:val="0"/>
            <w:spacing w:line="560" w:lineRule="exact"/>
            <w:ind w:left="0" w:leftChars="0" w:firstLine="628" w:firstLineChars="200"/>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_Toc1367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6"/>
              <w:sz w:val="32"/>
              <w:szCs w:val="32"/>
              <w:lang w:eastAsia="zh-CN"/>
            </w:rPr>
            <w:t>（一）编制目的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_Toc1367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41D3CB09">
          <w:pPr>
            <w:pStyle w:val="7"/>
            <w:keepNext w:val="0"/>
            <w:keepLines w:val="0"/>
            <w:pageBreakBefore w:val="0"/>
            <w:widowControl/>
            <w:tabs>
              <w:tab w:val="right" w:leader="dot" w:pos="9088"/>
            </w:tabs>
            <w:kinsoku w:val="0"/>
            <w:wordWrap/>
            <w:overflowPunct/>
            <w:topLinePunct w:val="0"/>
            <w:autoSpaceDE w:val="0"/>
            <w:autoSpaceDN w:val="0"/>
            <w:bidi w:val="0"/>
            <w:adjustRightInd w:val="0"/>
            <w:snapToGrid w:val="0"/>
            <w:spacing w:line="560" w:lineRule="exact"/>
            <w:ind w:left="0" w:leftChars="0" w:firstLine="628" w:firstLineChars="200"/>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_Toc918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6"/>
              <w:sz w:val="32"/>
              <w:szCs w:val="32"/>
              <w:lang w:eastAsia="zh-CN"/>
            </w:rPr>
            <w:t>（二）编制依据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_Toc918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2430BC20">
          <w:pPr>
            <w:pStyle w:val="7"/>
            <w:keepNext w:val="0"/>
            <w:keepLines w:val="0"/>
            <w:pageBreakBefore w:val="0"/>
            <w:widowControl/>
            <w:tabs>
              <w:tab w:val="right" w:leader="dot" w:pos="9088"/>
            </w:tabs>
            <w:kinsoku w:val="0"/>
            <w:wordWrap/>
            <w:overflowPunct/>
            <w:topLinePunct w:val="0"/>
            <w:autoSpaceDE w:val="0"/>
            <w:autoSpaceDN w:val="0"/>
            <w:bidi w:val="0"/>
            <w:adjustRightInd w:val="0"/>
            <w:snapToGrid w:val="0"/>
            <w:spacing w:line="560" w:lineRule="exact"/>
            <w:ind w:left="0" w:leftChars="0" w:firstLine="628" w:firstLineChars="200"/>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_Toc23379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6"/>
              <w:sz w:val="32"/>
              <w:szCs w:val="32"/>
              <w:lang w:eastAsia="zh-CN"/>
            </w:rPr>
            <w:t>（三）工作原则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_Toc23379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53C7F47B">
          <w:pPr>
            <w:pStyle w:val="7"/>
            <w:keepNext w:val="0"/>
            <w:keepLines w:val="0"/>
            <w:pageBreakBefore w:val="0"/>
            <w:widowControl/>
            <w:tabs>
              <w:tab w:val="right" w:leader="dot" w:pos="9088"/>
            </w:tabs>
            <w:kinsoku w:val="0"/>
            <w:wordWrap/>
            <w:overflowPunct/>
            <w:topLinePunct w:val="0"/>
            <w:autoSpaceDE w:val="0"/>
            <w:autoSpaceDN w:val="0"/>
            <w:bidi w:val="0"/>
            <w:adjustRightInd w:val="0"/>
            <w:snapToGrid w:val="0"/>
            <w:spacing w:line="560" w:lineRule="exact"/>
            <w:ind w:left="0" w:leftChars="0" w:firstLine="628" w:firstLineChars="200"/>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_Toc16225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6"/>
              <w:sz w:val="32"/>
              <w:szCs w:val="32"/>
              <w:lang w:eastAsia="zh-CN"/>
            </w:rPr>
            <w:t>（四）适用范围</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_Toc16225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6DD6D853">
          <w:pPr>
            <w:pStyle w:val="6"/>
            <w:keepNext w:val="0"/>
            <w:keepLines w:val="0"/>
            <w:pageBreakBefore w:val="0"/>
            <w:widowControl/>
            <w:tabs>
              <w:tab w:val="right" w:leader="dot" w:pos="9088"/>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_Toc26968 </w:instrText>
          </w:r>
          <w:r>
            <w:rPr>
              <w:rFonts w:hint="eastAsia" w:ascii="仿宋" w:hAnsi="仿宋" w:eastAsia="仿宋" w:cs="仿宋"/>
              <w:bCs/>
              <w:spacing w:val="-3"/>
              <w:sz w:val="32"/>
              <w:szCs w:val="32"/>
            </w:rPr>
            <w:fldChar w:fldCharType="separate"/>
          </w:r>
          <w:r>
            <w:rPr>
              <w:rFonts w:hint="eastAsia" w:ascii="仿宋" w:hAnsi="仿宋" w:eastAsia="仿宋" w:cs="仿宋"/>
              <w:spacing w:val="2"/>
              <w:sz w:val="32"/>
              <w:szCs w:val="32"/>
              <w:lang w:eastAsia="zh-CN"/>
            </w:rPr>
            <w:t>二、组织指挥机构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_Toc26968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353CFB48">
          <w:pPr>
            <w:pStyle w:val="6"/>
            <w:keepNext w:val="0"/>
            <w:keepLines w:val="0"/>
            <w:pageBreakBefore w:val="0"/>
            <w:widowControl/>
            <w:tabs>
              <w:tab w:val="right" w:leader="dot" w:pos="9088"/>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_Toc24897 </w:instrText>
          </w:r>
          <w:r>
            <w:rPr>
              <w:rFonts w:hint="eastAsia" w:ascii="仿宋" w:hAnsi="仿宋" w:eastAsia="仿宋" w:cs="仿宋"/>
              <w:bCs/>
              <w:spacing w:val="-3"/>
              <w:sz w:val="32"/>
              <w:szCs w:val="32"/>
            </w:rPr>
            <w:fldChar w:fldCharType="separate"/>
          </w:r>
          <w:r>
            <w:rPr>
              <w:rFonts w:hint="eastAsia" w:ascii="仿宋" w:hAnsi="仿宋" w:eastAsia="仿宋" w:cs="仿宋"/>
              <w:spacing w:val="2"/>
              <w:sz w:val="32"/>
              <w:szCs w:val="32"/>
              <w:lang w:val="en-US" w:eastAsia="zh-CN"/>
            </w:rPr>
            <w:t>三、</w:t>
          </w:r>
          <w:r>
            <w:rPr>
              <w:rFonts w:hint="eastAsia" w:ascii="仿宋" w:hAnsi="仿宋" w:eastAsia="仿宋" w:cs="仿宋"/>
              <w:spacing w:val="2"/>
              <w:sz w:val="32"/>
              <w:szCs w:val="32"/>
              <w:lang w:eastAsia="zh-CN"/>
            </w:rPr>
            <w:t>风险管控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_Toc24897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4D2D213F">
          <w:pPr>
            <w:pStyle w:val="7"/>
            <w:keepNext w:val="0"/>
            <w:keepLines w:val="0"/>
            <w:pageBreakBefore w:val="0"/>
            <w:widowControl/>
            <w:tabs>
              <w:tab w:val="right" w:leader="dot" w:pos="9088"/>
            </w:tabs>
            <w:kinsoku w:val="0"/>
            <w:wordWrap/>
            <w:overflowPunct/>
            <w:topLinePunct w:val="0"/>
            <w:autoSpaceDE w:val="0"/>
            <w:autoSpaceDN w:val="0"/>
            <w:bidi w:val="0"/>
            <w:adjustRightInd w:val="0"/>
            <w:snapToGrid w:val="0"/>
            <w:spacing w:line="560" w:lineRule="exact"/>
            <w:ind w:left="0" w:leftChars="0" w:firstLine="628" w:firstLineChars="200"/>
            <w:textAlignment w:val="baseline"/>
            <w:rPr>
              <w:rFonts w:hint="eastAsia" w:ascii="仿宋" w:hAnsi="仿宋" w:eastAsia="仿宋" w:cs="仿宋"/>
              <w:bCs/>
              <w:spacing w:val="-3"/>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_Toc28554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lang w:eastAsia="zh-CN"/>
            </w:rPr>
            <w:t>（一）救助信息来源</w:t>
          </w:r>
          <w:r>
            <w:rPr>
              <w:rFonts w:hint="eastAsia" w:ascii="仿宋" w:hAnsi="仿宋" w:eastAsia="仿宋" w:cs="仿宋"/>
              <w:bCs/>
              <w:spacing w:val="-3"/>
              <w:sz w:val="32"/>
              <w:szCs w:val="32"/>
            </w:rPr>
            <w:tab/>
          </w: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PAGEREF _Toc28554 \h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rPr>
            <w:t>3</w:t>
          </w:r>
          <w:r>
            <w:rPr>
              <w:rFonts w:hint="eastAsia" w:ascii="仿宋" w:hAnsi="仿宋" w:eastAsia="仿宋" w:cs="仿宋"/>
              <w:bCs/>
              <w:spacing w:val="-3"/>
              <w:sz w:val="32"/>
              <w:szCs w:val="32"/>
            </w:rPr>
            <w:fldChar w:fldCharType="end"/>
          </w:r>
          <w:r>
            <w:rPr>
              <w:rFonts w:hint="eastAsia" w:ascii="仿宋" w:hAnsi="仿宋" w:eastAsia="仿宋" w:cs="仿宋"/>
              <w:bCs/>
              <w:spacing w:val="-3"/>
              <w:sz w:val="32"/>
              <w:szCs w:val="32"/>
            </w:rPr>
            <w:fldChar w:fldCharType="end"/>
          </w:r>
        </w:p>
        <w:p w14:paraId="639128FA">
          <w:pPr>
            <w:pStyle w:val="7"/>
            <w:keepNext w:val="0"/>
            <w:keepLines w:val="0"/>
            <w:pageBreakBefore w:val="0"/>
            <w:widowControl/>
            <w:tabs>
              <w:tab w:val="right" w:leader="dot" w:pos="9088"/>
            </w:tabs>
            <w:kinsoku w:val="0"/>
            <w:wordWrap/>
            <w:overflowPunct/>
            <w:topLinePunct w:val="0"/>
            <w:autoSpaceDE w:val="0"/>
            <w:autoSpaceDN w:val="0"/>
            <w:bidi w:val="0"/>
            <w:adjustRightInd w:val="0"/>
            <w:snapToGrid w:val="0"/>
            <w:spacing w:line="560" w:lineRule="exact"/>
            <w:ind w:left="0" w:leftChars="0" w:firstLine="628" w:firstLineChars="200"/>
            <w:textAlignment w:val="baseline"/>
            <w:rPr>
              <w:rFonts w:hint="eastAsia" w:ascii="仿宋" w:hAnsi="仿宋" w:eastAsia="仿宋" w:cs="仿宋"/>
              <w:bCs/>
              <w:spacing w:val="-3"/>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_Toc7254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lang w:eastAsia="zh-CN"/>
            </w:rPr>
            <w:t>（二）灾害救助准备措施</w:t>
          </w:r>
          <w:r>
            <w:rPr>
              <w:rFonts w:hint="eastAsia" w:ascii="仿宋" w:hAnsi="仿宋" w:eastAsia="仿宋" w:cs="仿宋"/>
              <w:bCs/>
              <w:spacing w:val="-3"/>
              <w:sz w:val="32"/>
              <w:szCs w:val="32"/>
            </w:rPr>
            <w:tab/>
          </w: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PAGEREF _Toc7254 \h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rPr>
            <w:t>3</w:t>
          </w:r>
          <w:r>
            <w:rPr>
              <w:rFonts w:hint="eastAsia" w:ascii="仿宋" w:hAnsi="仿宋" w:eastAsia="仿宋" w:cs="仿宋"/>
              <w:bCs/>
              <w:spacing w:val="-3"/>
              <w:sz w:val="32"/>
              <w:szCs w:val="32"/>
            </w:rPr>
            <w:fldChar w:fldCharType="end"/>
          </w:r>
          <w:r>
            <w:rPr>
              <w:rFonts w:hint="eastAsia" w:ascii="仿宋" w:hAnsi="仿宋" w:eastAsia="仿宋" w:cs="仿宋"/>
              <w:bCs/>
              <w:spacing w:val="-3"/>
              <w:sz w:val="32"/>
              <w:szCs w:val="32"/>
            </w:rPr>
            <w:fldChar w:fldCharType="end"/>
          </w:r>
        </w:p>
        <w:p w14:paraId="0369279B">
          <w:pPr>
            <w:pStyle w:val="6"/>
            <w:keepNext w:val="0"/>
            <w:keepLines w:val="0"/>
            <w:pageBreakBefore w:val="0"/>
            <w:widowControl/>
            <w:tabs>
              <w:tab w:val="right" w:leader="dot" w:pos="9088"/>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_Toc8683 </w:instrText>
          </w:r>
          <w:r>
            <w:rPr>
              <w:rFonts w:hint="eastAsia" w:ascii="仿宋" w:hAnsi="仿宋" w:eastAsia="仿宋" w:cs="仿宋"/>
              <w:bCs/>
              <w:spacing w:val="-3"/>
              <w:sz w:val="32"/>
              <w:szCs w:val="32"/>
            </w:rPr>
            <w:fldChar w:fldCharType="separate"/>
          </w:r>
          <w:r>
            <w:rPr>
              <w:rFonts w:hint="eastAsia" w:ascii="仿宋" w:hAnsi="仿宋" w:eastAsia="仿宋" w:cs="仿宋"/>
              <w:sz w:val="32"/>
              <w:szCs w:val="32"/>
              <w:lang w:eastAsia="zh-CN"/>
            </w:rPr>
            <w:t>四、信息报告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_Toc8683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79888B0E">
          <w:pPr>
            <w:pStyle w:val="7"/>
            <w:keepNext w:val="0"/>
            <w:keepLines w:val="0"/>
            <w:pageBreakBefore w:val="0"/>
            <w:widowControl/>
            <w:tabs>
              <w:tab w:val="right" w:leader="dot" w:pos="9088"/>
            </w:tabs>
            <w:kinsoku w:val="0"/>
            <w:wordWrap/>
            <w:overflowPunct/>
            <w:topLinePunct w:val="0"/>
            <w:autoSpaceDE w:val="0"/>
            <w:autoSpaceDN w:val="0"/>
            <w:bidi w:val="0"/>
            <w:adjustRightInd w:val="0"/>
            <w:snapToGrid w:val="0"/>
            <w:spacing w:line="560" w:lineRule="exact"/>
            <w:ind w:left="0" w:leftChars="0" w:firstLine="628" w:firstLineChars="200"/>
            <w:textAlignment w:val="baseline"/>
            <w:rPr>
              <w:rFonts w:hint="eastAsia" w:ascii="仿宋" w:hAnsi="仿宋" w:eastAsia="仿宋" w:cs="仿宋"/>
              <w:bCs/>
              <w:spacing w:val="-3"/>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_Toc29811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lang w:eastAsia="zh-CN"/>
            </w:rPr>
            <w:t>（一）信息报告</w:t>
          </w:r>
          <w:r>
            <w:rPr>
              <w:rFonts w:hint="eastAsia" w:ascii="仿宋" w:hAnsi="仿宋" w:eastAsia="仿宋" w:cs="仿宋"/>
              <w:bCs/>
              <w:spacing w:val="-3"/>
              <w:sz w:val="32"/>
              <w:szCs w:val="32"/>
            </w:rPr>
            <w:tab/>
          </w: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PAGEREF _Toc29811 \h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rPr>
            <w:t>4</w:t>
          </w:r>
          <w:r>
            <w:rPr>
              <w:rFonts w:hint="eastAsia" w:ascii="仿宋" w:hAnsi="仿宋" w:eastAsia="仿宋" w:cs="仿宋"/>
              <w:bCs/>
              <w:spacing w:val="-3"/>
              <w:sz w:val="32"/>
              <w:szCs w:val="32"/>
            </w:rPr>
            <w:fldChar w:fldCharType="end"/>
          </w:r>
          <w:r>
            <w:rPr>
              <w:rFonts w:hint="eastAsia" w:ascii="仿宋" w:hAnsi="仿宋" w:eastAsia="仿宋" w:cs="仿宋"/>
              <w:bCs/>
              <w:spacing w:val="-3"/>
              <w:sz w:val="32"/>
              <w:szCs w:val="32"/>
            </w:rPr>
            <w:fldChar w:fldCharType="end"/>
          </w:r>
        </w:p>
        <w:p w14:paraId="2A9724F5">
          <w:pPr>
            <w:pStyle w:val="7"/>
            <w:keepNext w:val="0"/>
            <w:keepLines w:val="0"/>
            <w:pageBreakBefore w:val="0"/>
            <w:widowControl/>
            <w:tabs>
              <w:tab w:val="right" w:leader="dot" w:pos="9088"/>
            </w:tabs>
            <w:kinsoku w:val="0"/>
            <w:wordWrap/>
            <w:overflowPunct/>
            <w:topLinePunct w:val="0"/>
            <w:autoSpaceDE w:val="0"/>
            <w:autoSpaceDN w:val="0"/>
            <w:bidi w:val="0"/>
            <w:adjustRightInd w:val="0"/>
            <w:snapToGrid w:val="0"/>
            <w:spacing w:line="560" w:lineRule="exact"/>
            <w:ind w:left="0" w:leftChars="0" w:firstLine="628" w:firstLineChars="200"/>
            <w:textAlignment w:val="baseline"/>
            <w:rPr>
              <w:rFonts w:hint="eastAsia" w:ascii="仿宋" w:hAnsi="仿宋" w:eastAsia="仿宋" w:cs="仿宋"/>
              <w:bCs/>
              <w:spacing w:val="-3"/>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_Toc32114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lang w:eastAsia="zh-CN"/>
            </w:rPr>
            <w:t>（二）信息发布</w:t>
          </w:r>
          <w:r>
            <w:rPr>
              <w:rFonts w:hint="eastAsia" w:ascii="仿宋" w:hAnsi="仿宋" w:eastAsia="仿宋" w:cs="仿宋"/>
              <w:bCs/>
              <w:spacing w:val="-3"/>
              <w:sz w:val="32"/>
              <w:szCs w:val="32"/>
            </w:rPr>
            <w:tab/>
          </w: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PAGEREF _Toc32114 \h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rPr>
            <w:t>6</w:t>
          </w:r>
          <w:r>
            <w:rPr>
              <w:rFonts w:hint="eastAsia" w:ascii="仿宋" w:hAnsi="仿宋" w:eastAsia="仿宋" w:cs="仿宋"/>
              <w:bCs/>
              <w:spacing w:val="-3"/>
              <w:sz w:val="32"/>
              <w:szCs w:val="32"/>
            </w:rPr>
            <w:fldChar w:fldCharType="end"/>
          </w:r>
          <w:r>
            <w:rPr>
              <w:rFonts w:hint="eastAsia" w:ascii="仿宋" w:hAnsi="仿宋" w:eastAsia="仿宋" w:cs="仿宋"/>
              <w:bCs/>
              <w:spacing w:val="-3"/>
              <w:sz w:val="32"/>
              <w:szCs w:val="32"/>
            </w:rPr>
            <w:fldChar w:fldCharType="end"/>
          </w:r>
        </w:p>
        <w:p w14:paraId="4AF79CF4">
          <w:pPr>
            <w:pStyle w:val="6"/>
            <w:keepNext w:val="0"/>
            <w:keepLines w:val="0"/>
            <w:pageBreakBefore w:val="0"/>
            <w:widowControl/>
            <w:tabs>
              <w:tab w:val="right" w:leader="dot" w:pos="9088"/>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_Toc8541 </w:instrText>
          </w:r>
          <w:r>
            <w:rPr>
              <w:rFonts w:hint="eastAsia" w:ascii="仿宋" w:hAnsi="仿宋" w:eastAsia="仿宋" w:cs="仿宋"/>
              <w:bCs/>
              <w:spacing w:val="-3"/>
              <w:sz w:val="32"/>
              <w:szCs w:val="32"/>
            </w:rPr>
            <w:fldChar w:fldCharType="separate"/>
          </w:r>
          <w:r>
            <w:rPr>
              <w:rFonts w:hint="eastAsia" w:ascii="仿宋" w:hAnsi="仿宋" w:eastAsia="仿宋" w:cs="仿宋"/>
              <w:spacing w:val="1"/>
              <w:sz w:val="32"/>
              <w:szCs w:val="32"/>
              <w:lang w:eastAsia="zh-CN"/>
            </w:rPr>
            <w:t>五、应急处置措施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_Toc8541 \h </w:instrText>
          </w:r>
          <w:r>
            <w:rPr>
              <w:rFonts w:hint="eastAsia" w:ascii="仿宋" w:hAnsi="仿宋" w:eastAsia="仿宋" w:cs="仿宋"/>
              <w:sz w:val="32"/>
              <w:szCs w:val="32"/>
            </w:rPr>
            <w:fldChar w:fldCharType="separate"/>
          </w:r>
          <w:r>
            <w:rPr>
              <w:rFonts w:hint="eastAsia" w:ascii="仿宋" w:hAnsi="仿宋" w:eastAsia="仿宋" w:cs="仿宋"/>
              <w:sz w:val="32"/>
              <w:szCs w:val="32"/>
            </w:rPr>
            <w:t>6</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43D823D0">
          <w:pPr>
            <w:pStyle w:val="7"/>
            <w:keepNext w:val="0"/>
            <w:keepLines w:val="0"/>
            <w:pageBreakBefore w:val="0"/>
            <w:widowControl/>
            <w:tabs>
              <w:tab w:val="right" w:leader="dot" w:pos="9088"/>
            </w:tabs>
            <w:kinsoku w:val="0"/>
            <w:wordWrap/>
            <w:overflowPunct/>
            <w:topLinePunct w:val="0"/>
            <w:autoSpaceDE w:val="0"/>
            <w:autoSpaceDN w:val="0"/>
            <w:bidi w:val="0"/>
            <w:adjustRightInd w:val="0"/>
            <w:snapToGrid w:val="0"/>
            <w:spacing w:line="560" w:lineRule="exact"/>
            <w:ind w:left="0" w:leftChars="0" w:firstLine="628" w:firstLineChars="200"/>
            <w:textAlignment w:val="baseline"/>
            <w:rPr>
              <w:rFonts w:hint="eastAsia" w:ascii="仿宋" w:hAnsi="仿宋" w:eastAsia="仿宋" w:cs="仿宋"/>
              <w:bCs/>
              <w:spacing w:val="-3"/>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_Toc30425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lang w:eastAsia="zh-CN"/>
            </w:rPr>
            <w:t>（一）Ⅰ级响应</w:t>
          </w:r>
          <w:r>
            <w:rPr>
              <w:rFonts w:hint="eastAsia" w:ascii="仿宋" w:hAnsi="仿宋" w:eastAsia="仿宋" w:cs="仿宋"/>
              <w:bCs/>
              <w:spacing w:val="-3"/>
              <w:sz w:val="32"/>
              <w:szCs w:val="32"/>
            </w:rPr>
            <w:tab/>
          </w: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PAGEREF _Toc30425 \h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rPr>
            <w:t>7</w:t>
          </w:r>
          <w:r>
            <w:rPr>
              <w:rFonts w:hint="eastAsia" w:ascii="仿宋" w:hAnsi="仿宋" w:eastAsia="仿宋" w:cs="仿宋"/>
              <w:bCs/>
              <w:spacing w:val="-3"/>
              <w:sz w:val="32"/>
              <w:szCs w:val="32"/>
            </w:rPr>
            <w:fldChar w:fldCharType="end"/>
          </w:r>
          <w:r>
            <w:rPr>
              <w:rFonts w:hint="eastAsia" w:ascii="仿宋" w:hAnsi="仿宋" w:eastAsia="仿宋" w:cs="仿宋"/>
              <w:bCs/>
              <w:spacing w:val="-3"/>
              <w:sz w:val="32"/>
              <w:szCs w:val="32"/>
            </w:rPr>
            <w:fldChar w:fldCharType="end"/>
          </w:r>
        </w:p>
        <w:p w14:paraId="1DD99C94">
          <w:pPr>
            <w:pStyle w:val="7"/>
            <w:keepNext w:val="0"/>
            <w:keepLines w:val="0"/>
            <w:pageBreakBefore w:val="0"/>
            <w:widowControl/>
            <w:tabs>
              <w:tab w:val="right" w:leader="dot" w:pos="9088"/>
            </w:tabs>
            <w:kinsoku w:val="0"/>
            <w:wordWrap/>
            <w:overflowPunct/>
            <w:topLinePunct w:val="0"/>
            <w:autoSpaceDE w:val="0"/>
            <w:autoSpaceDN w:val="0"/>
            <w:bidi w:val="0"/>
            <w:adjustRightInd w:val="0"/>
            <w:snapToGrid w:val="0"/>
            <w:spacing w:line="560" w:lineRule="exact"/>
            <w:ind w:left="0" w:leftChars="0" w:firstLine="628" w:firstLineChars="200"/>
            <w:textAlignment w:val="baseline"/>
            <w:rPr>
              <w:rFonts w:hint="eastAsia" w:ascii="仿宋" w:hAnsi="仿宋" w:eastAsia="仿宋" w:cs="仿宋"/>
              <w:bCs/>
              <w:spacing w:val="-3"/>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_Toc30946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lang w:eastAsia="zh-CN"/>
            </w:rPr>
            <w:t>（二）Ⅱ级响应</w:t>
          </w:r>
          <w:r>
            <w:rPr>
              <w:rFonts w:hint="eastAsia" w:ascii="仿宋" w:hAnsi="仿宋" w:eastAsia="仿宋" w:cs="仿宋"/>
              <w:bCs/>
              <w:spacing w:val="-3"/>
              <w:sz w:val="32"/>
              <w:szCs w:val="32"/>
            </w:rPr>
            <w:tab/>
          </w: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PAGEREF _Toc30946 \h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rPr>
            <w:t>8</w:t>
          </w:r>
          <w:r>
            <w:rPr>
              <w:rFonts w:hint="eastAsia" w:ascii="仿宋" w:hAnsi="仿宋" w:eastAsia="仿宋" w:cs="仿宋"/>
              <w:bCs/>
              <w:spacing w:val="-3"/>
              <w:sz w:val="32"/>
              <w:szCs w:val="32"/>
            </w:rPr>
            <w:fldChar w:fldCharType="end"/>
          </w:r>
          <w:r>
            <w:rPr>
              <w:rFonts w:hint="eastAsia" w:ascii="仿宋" w:hAnsi="仿宋" w:eastAsia="仿宋" w:cs="仿宋"/>
              <w:bCs/>
              <w:spacing w:val="-3"/>
              <w:sz w:val="32"/>
              <w:szCs w:val="32"/>
            </w:rPr>
            <w:fldChar w:fldCharType="end"/>
          </w:r>
        </w:p>
        <w:p w14:paraId="10C94FA3">
          <w:pPr>
            <w:pStyle w:val="7"/>
            <w:keepNext w:val="0"/>
            <w:keepLines w:val="0"/>
            <w:pageBreakBefore w:val="0"/>
            <w:widowControl/>
            <w:tabs>
              <w:tab w:val="right" w:leader="dot" w:pos="9088"/>
            </w:tabs>
            <w:kinsoku w:val="0"/>
            <w:wordWrap/>
            <w:overflowPunct/>
            <w:topLinePunct w:val="0"/>
            <w:autoSpaceDE w:val="0"/>
            <w:autoSpaceDN w:val="0"/>
            <w:bidi w:val="0"/>
            <w:adjustRightInd w:val="0"/>
            <w:snapToGrid w:val="0"/>
            <w:spacing w:line="560" w:lineRule="exact"/>
            <w:ind w:left="0" w:leftChars="0" w:firstLine="628" w:firstLineChars="200"/>
            <w:textAlignment w:val="baseline"/>
            <w:rPr>
              <w:rFonts w:hint="eastAsia" w:ascii="仿宋" w:hAnsi="仿宋" w:eastAsia="仿宋" w:cs="仿宋"/>
              <w:bCs/>
              <w:spacing w:val="-3"/>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_Toc22721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lang w:eastAsia="zh-CN"/>
            </w:rPr>
            <w:t>（三）Ⅲ级响应</w:t>
          </w:r>
          <w:r>
            <w:rPr>
              <w:rFonts w:hint="eastAsia" w:ascii="仿宋" w:hAnsi="仿宋" w:eastAsia="仿宋" w:cs="仿宋"/>
              <w:bCs/>
              <w:spacing w:val="-3"/>
              <w:sz w:val="32"/>
              <w:szCs w:val="32"/>
            </w:rPr>
            <w:tab/>
          </w: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PAGEREF _Toc22721 \h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rPr>
            <w:t>11</w:t>
          </w:r>
          <w:r>
            <w:rPr>
              <w:rFonts w:hint="eastAsia" w:ascii="仿宋" w:hAnsi="仿宋" w:eastAsia="仿宋" w:cs="仿宋"/>
              <w:bCs/>
              <w:spacing w:val="-3"/>
              <w:sz w:val="32"/>
              <w:szCs w:val="32"/>
            </w:rPr>
            <w:fldChar w:fldCharType="end"/>
          </w:r>
          <w:r>
            <w:rPr>
              <w:rFonts w:hint="eastAsia" w:ascii="仿宋" w:hAnsi="仿宋" w:eastAsia="仿宋" w:cs="仿宋"/>
              <w:bCs/>
              <w:spacing w:val="-3"/>
              <w:sz w:val="32"/>
              <w:szCs w:val="32"/>
            </w:rPr>
            <w:fldChar w:fldCharType="end"/>
          </w:r>
        </w:p>
        <w:p w14:paraId="4E5A974C">
          <w:pPr>
            <w:pStyle w:val="7"/>
            <w:keepNext w:val="0"/>
            <w:keepLines w:val="0"/>
            <w:pageBreakBefore w:val="0"/>
            <w:widowControl/>
            <w:tabs>
              <w:tab w:val="right" w:leader="dot" w:pos="9088"/>
            </w:tabs>
            <w:kinsoku w:val="0"/>
            <w:wordWrap/>
            <w:overflowPunct/>
            <w:topLinePunct w:val="0"/>
            <w:autoSpaceDE w:val="0"/>
            <w:autoSpaceDN w:val="0"/>
            <w:bidi w:val="0"/>
            <w:adjustRightInd w:val="0"/>
            <w:snapToGrid w:val="0"/>
            <w:spacing w:line="560" w:lineRule="exact"/>
            <w:ind w:left="0" w:leftChars="0" w:firstLine="628" w:firstLineChars="200"/>
            <w:textAlignment w:val="baseline"/>
            <w:rPr>
              <w:rFonts w:hint="eastAsia" w:ascii="仿宋" w:hAnsi="仿宋" w:eastAsia="仿宋" w:cs="仿宋"/>
              <w:bCs/>
              <w:spacing w:val="-3"/>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_Toc32485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lang w:eastAsia="zh-CN"/>
            </w:rPr>
            <w:t>（四）Ⅳ级响应</w:t>
          </w:r>
          <w:r>
            <w:rPr>
              <w:rFonts w:hint="eastAsia" w:ascii="仿宋" w:hAnsi="仿宋" w:eastAsia="仿宋" w:cs="仿宋"/>
              <w:bCs/>
              <w:spacing w:val="-3"/>
              <w:sz w:val="32"/>
              <w:szCs w:val="32"/>
            </w:rPr>
            <w:tab/>
          </w: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PAGEREF _Toc32485 \h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rPr>
            <w:t>12</w:t>
          </w:r>
          <w:r>
            <w:rPr>
              <w:rFonts w:hint="eastAsia" w:ascii="仿宋" w:hAnsi="仿宋" w:eastAsia="仿宋" w:cs="仿宋"/>
              <w:bCs/>
              <w:spacing w:val="-3"/>
              <w:sz w:val="32"/>
              <w:szCs w:val="32"/>
            </w:rPr>
            <w:fldChar w:fldCharType="end"/>
          </w:r>
          <w:r>
            <w:rPr>
              <w:rFonts w:hint="eastAsia" w:ascii="仿宋" w:hAnsi="仿宋" w:eastAsia="仿宋" w:cs="仿宋"/>
              <w:bCs/>
              <w:spacing w:val="-3"/>
              <w:sz w:val="32"/>
              <w:szCs w:val="32"/>
            </w:rPr>
            <w:fldChar w:fldCharType="end"/>
          </w:r>
        </w:p>
        <w:p w14:paraId="4846E927">
          <w:pPr>
            <w:pStyle w:val="6"/>
            <w:keepNext w:val="0"/>
            <w:keepLines w:val="0"/>
            <w:pageBreakBefore w:val="0"/>
            <w:widowControl/>
            <w:tabs>
              <w:tab w:val="right" w:leader="dot" w:pos="9088"/>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_Toc5156 </w:instrText>
          </w:r>
          <w:r>
            <w:rPr>
              <w:rFonts w:hint="eastAsia" w:ascii="仿宋" w:hAnsi="仿宋" w:eastAsia="仿宋" w:cs="仿宋"/>
              <w:bCs/>
              <w:spacing w:val="-3"/>
              <w:sz w:val="32"/>
              <w:szCs w:val="32"/>
            </w:rPr>
            <w:fldChar w:fldCharType="separate"/>
          </w:r>
          <w:r>
            <w:rPr>
              <w:rFonts w:hint="eastAsia" w:ascii="仿宋" w:hAnsi="仿宋" w:eastAsia="仿宋" w:cs="仿宋"/>
              <w:spacing w:val="3"/>
              <w:sz w:val="32"/>
              <w:szCs w:val="32"/>
              <w:lang w:eastAsia="zh-CN"/>
            </w:rPr>
            <w:t>六、组织自救互救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_Toc5156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7988B010">
          <w:pPr>
            <w:pStyle w:val="6"/>
            <w:keepNext w:val="0"/>
            <w:keepLines w:val="0"/>
            <w:pageBreakBefore w:val="0"/>
            <w:widowControl/>
            <w:tabs>
              <w:tab w:val="right" w:leader="dot" w:pos="9088"/>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_Toc29331 </w:instrText>
          </w:r>
          <w:r>
            <w:rPr>
              <w:rFonts w:hint="eastAsia" w:ascii="仿宋" w:hAnsi="仿宋" w:eastAsia="仿宋" w:cs="仿宋"/>
              <w:bCs/>
              <w:spacing w:val="-3"/>
              <w:sz w:val="32"/>
              <w:szCs w:val="32"/>
            </w:rPr>
            <w:fldChar w:fldCharType="separate"/>
          </w:r>
          <w:r>
            <w:rPr>
              <w:rFonts w:hint="eastAsia" w:ascii="仿宋" w:hAnsi="仿宋" w:eastAsia="仿宋" w:cs="仿宋"/>
              <w:spacing w:val="3"/>
              <w:sz w:val="32"/>
              <w:szCs w:val="32"/>
              <w:lang w:eastAsia="zh-CN"/>
            </w:rPr>
            <w:t>七、现场管控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_Toc29331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2CBF4B6B">
          <w:pPr>
            <w:pStyle w:val="7"/>
            <w:keepNext w:val="0"/>
            <w:keepLines w:val="0"/>
            <w:pageBreakBefore w:val="0"/>
            <w:widowControl/>
            <w:tabs>
              <w:tab w:val="right" w:leader="dot" w:pos="9088"/>
            </w:tabs>
            <w:kinsoku w:val="0"/>
            <w:wordWrap/>
            <w:overflowPunct/>
            <w:topLinePunct w:val="0"/>
            <w:autoSpaceDE w:val="0"/>
            <w:autoSpaceDN w:val="0"/>
            <w:bidi w:val="0"/>
            <w:adjustRightInd w:val="0"/>
            <w:snapToGrid w:val="0"/>
            <w:spacing w:line="560" w:lineRule="exact"/>
            <w:ind w:left="0" w:leftChars="0" w:firstLine="628" w:firstLineChars="200"/>
            <w:textAlignment w:val="baseline"/>
            <w:rPr>
              <w:rFonts w:hint="eastAsia" w:ascii="仿宋" w:hAnsi="仿宋" w:eastAsia="仿宋" w:cs="仿宋"/>
              <w:bCs/>
              <w:spacing w:val="-3"/>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_Toc7471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lang w:eastAsia="zh-CN"/>
            </w:rPr>
            <w:t>（一）过渡期生活救助</w:t>
          </w:r>
          <w:r>
            <w:rPr>
              <w:rFonts w:hint="eastAsia" w:ascii="仿宋" w:hAnsi="仿宋" w:eastAsia="仿宋" w:cs="仿宋"/>
              <w:bCs/>
              <w:spacing w:val="-3"/>
              <w:sz w:val="32"/>
              <w:szCs w:val="32"/>
            </w:rPr>
            <w:tab/>
          </w: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PAGEREF _Toc7471 \h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rPr>
            <w:t>14</w:t>
          </w:r>
          <w:r>
            <w:rPr>
              <w:rFonts w:hint="eastAsia" w:ascii="仿宋" w:hAnsi="仿宋" w:eastAsia="仿宋" w:cs="仿宋"/>
              <w:bCs/>
              <w:spacing w:val="-3"/>
              <w:sz w:val="32"/>
              <w:szCs w:val="32"/>
            </w:rPr>
            <w:fldChar w:fldCharType="end"/>
          </w:r>
          <w:r>
            <w:rPr>
              <w:rFonts w:hint="eastAsia" w:ascii="仿宋" w:hAnsi="仿宋" w:eastAsia="仿宋" w:cs="仿宋"/>
              <w:bCs/>
              <w:spacing w:val="-3"/>
              <w:sz w:val="32"/>
              <w:szCs w:val="32"/>
            </w:rPr>
            <w:fldChar w:fldCharType="end"/>
          </w:r>
        </w:p>
        <w:p w14:paraId="1B8A59BA">
          <w:pPr>
            <w:pStyle w:val="7"/>
            <w:keepNext w:val="0"/>
            <w:keepLines w:val="0"/>
            <w:pageBreakBefore w:val="0"/>
            <w:widowControl/>
            <w:tabs>
              <w:tab w:val="right" w:leader="dot" w:pos="9088"/>
            </w:tabs>
            <w:kinsoku w:val="0"/>
            <w:wordWrap/>
            <w:overflowPunct/>
            <w:topLinePunct w:val="0"/>
            <w:autoSpaceDE w:val="0"/>
            <w:autoSpaceDN w:val="0"/>
            <w:bidi w:val="0"/>
            <w:adjustRightInd w:val="0"/>
            <w:snapToGrid w:val="0"/>
            <w:spacing w:line="560" w:lineRule="exact"/>
            <w:ind w:left="0" w:leftChars="0" w:firstLine="628" w:firstLineChars="200"/>
            <w:textAlignment w:val="baseline"/>
            <w:rPr>
              <w:rFonts w:hint="eastAsia" w:ascii="仿宋" w:hAnsi="仿宋" w:eastAsia="仿宋" w:cs="仿宋"/>
              <w:bCs/>
              <w:spacing w:val="-3"/>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_Toc10835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lang w:eastAsia="zh-CN"/>
            </w:rPr>
            <w:t>（二）冬春救助</w:t>
          </w:r>
          <w:r>
            <w:rPr>
              <w:rFonts w:hint="eastAsia" w:ascii="仿宋" w:hAnsi="仿宋" w:eastAsia="仿宋" w:cs="仿宋"/>
              <w:bCs/>
              <w:spacing w:val="-3"/>
              <w:sz w:val="32"/>
              <w:szCs w:val="32"/>
            </w:rPr>
            <w:tab/>
          </w: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PAGEREF _Toc10835 \h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rPr>
            <w:t>15</w:t>
          </w:r>
          <w:r>
            <w:rPr>
              <w:rFonts w:hint="eastAsia" w:ascii="仿宋" w:hAnsi="仿宋" w:eastAsia="仿宋" w:cs="仿宋"/>
              <w:bCs/>
              <w:spacing w:val="-3"/>
              <w:sz w:val="32"/>
              <w:szCs w:val="32"/>
            </w:rPr>
            <w:fldChar w:fldCharType="end"/>
          </w:r>
          <w:r>
            <w:rPr>
              <w:rFonts w:hint="eastAsia" w:ascii="仿宋" w:hAnsi="仿宋" w:eastAsia="仿宋" w:cs="仿宋"/>
              <w:bCs/>
              <w:spacing w:val="-3"/>
              <w:sz w:val="32"/>
              <w:szCs w:val="32"/>
            </w:rPr>
            <w:fldChar w:fldCharType="end"/>
          </w:r>
        </w:p>
        <w:p w14:paraId="082A4A6E">
          <w:pPr>
            <w:pStyle w:val="7"/>
            <w:keepNext w:val="0"/>
            <w:keepLines w:val="0"/>
            <w:pageBreakBefore w:val="0"/>
            <w:widowControl/>
            <w:tabs>
              <w:tab w:val="right" w:leader="dot" w:pos="9088"/>
            </w:tabs>
            <w:kinsoku w:val="0"/>
            <w:wordWrap/>
            <w:overflowPunct/>
            <w:topLinePunct w:val="0"/>
            <w:autoSpaceDE w:val="0"/>
            <w:autoSpaceDN w:val="0"/>
            <w:bidi w:val="0"/>
            <w:adjustRightInd w:val="0"/>
            <w:snapToGrid w:val="0"/>
            <w:spacing w:line="560" w:lineRule="exact"/>
            <w:ind w:left="0" w:leftChars="0" w:firstLine="628" w:firstLineChars="200"/>
            <w:textAlignment w:val="baseline"/>
            <w:rPr>
              <w:rFonts w:hint="eastAsia" w:ascii="仿宋" w:hAnsi="仿宋" w:eastAsia="仿宋" w:cs="仿宋"/>
              <w:bCs/>
              <w:spacing w:val="-3"/>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_Toc32750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lang w:eastAsia="zh-CN"/>
            </w:rPr>
            <w:t>（三）倒损住房恢复重建</w:t>
          </w:r>
          <w:r>
            <w:rPr>
              <w:rFonts w:hint="eastAsia" w:ascii="仿宋" w:hAnsi="仿宋" w:eastAsia="仿宋" w:cs="仿宋"/>
              <w:bCs/>
              <w:spacing w:val="-3"/>
              <w:sz w:val="32"/>
              <w:szCs w:val="32"/>
            </w:rPr>
            <w:tab/>
          </w: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PAGEREF _Toc32750 \h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rPr>
            <w:t>15</w:t>
          </w:r>
          <w:r>
            <w:rPr>
              <w:rFonts w:hint="eastAsia" w:ascii="仿宋" w:hAnsi="仿宋" w:eastAsia="仿宋" w:cs="仿宋"/>
              <w:bCs/>
              <w:spacing w:val="-3"/>
              <w:sz w:val="32"/>
              <w:szCs w:val="32"/>
            </w:rPr>
            <w:fldChar w:fldCharType="end"/>
          </w:r>
          <w:r>
            <w:rPr>
              <w:rFonts w:hint="eastAsia" w:ascii="仿宋" w:hAnsi="仿宋" w:eastAsia="仿宋" w:cs="仿宋"/>
              <w:bCs/>
              <w:spacing w:val="-3"/>
              <w:sz w:val="32"/>
              <w:szCs w:val="32"/>
            </w:rPr>
            <w:fldChar w:fldCharType="end"/>
          </w:r>
        </w:p>
        <w:p w14:paraId="4B8C7D51">
          <w:pPr>
            <w:pStyle w:val="6"/>
            <w:keepNext w:val="0"/>
            <w:keepLines w:val="0"/>
            <w:pageBreakBefore w:val="0"/>
            <w:widowControl/>
            <w:tabs>
              <w:tab w:val="right" w:leader="dot" w:pos="9088"/>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_Toc23607 </w:instrText>
          </w:r>
          <w:r>
            <w:rPr>
              <w:rFonts w:hint="eastAsia" w:ascii="仿宋" w:hAnsi="仿宋" w:eastAsia="仿宋" w:cs="仿宋"/>
              <w:bCs/>
              <w:spacing w:val="-3"/>
              <w:sz w:val="32"/>
              <w:szCs w:val="32"/>
            </w:rPr>
            <w:fldChar w:fldCharType="separate"/>
          </w:r>
          <w:r>
            <w:rPr>
              <w:rFonts w:hint="eastAsia" w:ascii="仿宋" w:hAnsi="仿宋" w:eastAsia="仿宋" w:cs="仿宋"/>
              <w:spacing w:val="2"/>
              <w:sz w:val="32"/>
              <w:szCs w:val="32"/>
              <w:lang w:eastAsia="zh-CN"/>
            </w:rPr>
            <w:t>八、队伍物资保障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_Toc23607 \h </w:instrText>
          </w:r>
          <w:r>
            <w:rPr>
              <w:rFonts w:hint="eastAsia" w:ascii="仿宋" w:hAnsi="仿宋" w:eastAsia="仿宋" w:cs="仿宋"/>
              <w:sz w:val="32"/>
              <w:szCs w:val="32"/>
            </w:rPr>
            <w:fldChar w:fldCharType="separate"/>
          </w:r>
          <w:r>
            <w:rPr>
              <w:rFonts w:hint="eastAsia" w:ascii="仿宋" w:hAnsi="仿宋" w:eastAsia="仿宋" w:cs="仿宋"/>
              <w:sz w:val="32"/>
              <w:szCs w:val="32"/>
            </w:rPr>
            <w:t>16</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7D1A8E47">
          <w:pPr>
            <w:pStyle w:val="7"/>
            <w:keepNext w:val="0"/>
            <w:keepLines w:val="0"/>
            <w:pageBreakBefore w:val="0"/>
            <w:widowControl/>
            <w:tabs>
              <w:tab w:val="right" w:leader="dot" w:pos="9088"/>
            </w:tabs>
            <w:kinsoku w:val="0"/>
            <w:wordWrap/>
            <w:overflowPunct/>
            <w:topLinePunct w:val="0"/>
            <w:autoSpaceDE w:val="0"/>
            <w:autoSpaceDN w:val="0"/>
            <w:bidi w:val="0"/>
            <w:adjustRightInd w:val="0"/>
            <w:snapToGrid w:val="0"/>
            <w:spacing w:line="560" w:lineRule="exact"/>
            <w:ind w:left="0" w:leftChars="0" w:firstLine="628" w:firstLineChars="200"/>
            <w:textAlignment w:val="baseline"/>
            <w:rPr>
              <w:rFonts w:hint="eastAsia" w:ascii="仿宋" w:hAnsi="仿宋" w:eastAsia="仿宋" w:cs="仿宋"/>
              <w:bCs/>
              <w:spacing w:val="-3"/>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_Toc29565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lang w:eastAsia="zh-CN"/>
            </w:rPr>
            <w:t>（一）资金保障</w:t>
          </w:r>
          <w:r>
            <w:rPr>
              <w:rFonts w:hint="eastAsia" w:ascii="仿宋" w:hAnsi="仿宋" w:eastAsia="仿宋" w:cs="仿宋"/>
              <w:bCs/>
              <w:spacing w:val="-3"/>
              <w:sz w:val="32"/>
              <w:szCs w:val="32"/>
            </w:rPr>
            <w:tab/>
          </w: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PAGEREF _Toc29565 \h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rPr>
            <w:t>16</w:t>
          </w:r>
          <w:r>
            <w:rPr>
              <w:rFonts w:hint="eastAsia" w:ascii="仿宋" w:hAnsi="仿宋" w:eastAsia="仿宋" w:cs="仿宋"/>
              <w:bCs/>
              <w:spacing w:val="-3"/>
              <w:sz w:val="32"/>
              <w:szCs w:val="32"/>
            </w:rPr>
            <w:fldChar w:fldCharType="end"/>
          </w:r>
          <w:r>
            <w:rPr>
              <w:rFonts w:hint="eastAsia" w:ascii="仿宋" w:hAnsi="仿宋" w:eastAsia="仿宋" w:cs="仿宋"/>
              <w:bCs/>
              <w:spacing w:val="-3"/>
              <w:sz w:val="32"/>
              <w:szCs w:val="32"/>
            </w:rPr>
            <w:fldChar w:fldCharType="end"/>
          </w:r>
        </w:p>
        <w:p w14:paraId="484B317C">
          <w:pPr>
            <w:pStyle w:val="7"/>
            <w:keepNext w:val="0"/>
            <w:keepLines w:val="0"/>
            <w:pageBreakBefore w:val="0"/>
            <w:widowControl/>
            <w:tabs>
              <w:tab w:val="right" w:leader="dot" w:pos="9088"/>
            </w:tabs>
            <w:kinsoku w:val="0"/>
            <w:wordWrap/>
            <w:overflowPunct/>
            <w:topLinePunct w:val="0"/>
            <w:autoSpaceDE w:val="0"/>
            <w:autoSpaceDN w:val="0"/>
            <w:bidi w:val="0"/>
            <w:adjustRightInd w:val="0"/>
            <w:snapToGrid w:val="0"/>
            <w:spacing w:line="560" w:lineRule="exact"/>
            <w:ind w:left="0" w:leftChars="0" w:firstLine="628" w:firstLineChars="200"/>
            <w:textAlignment w:val="baseline"/>
            <w:rPr>
              <w:rFonts w:hint="eastAsia" w:ascii="仿宋" w:hAnsi="仿宋" w:eastAsia="仿宋" w:cs="仿宋"/>
              <w:bCs/>
              <w:spacing w:val="-3"/>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_Toc7927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lang w:eastAsia="zh-CN"/>
            </w:rPr>
            <w:t>（二）物资保障</w:t>
          </w:r>
          <w:r>
            <w:rPr>
              <w:rFonts w:hint="eastAsia" w:ascii="仿宋" w:hAnsi="仿宋" w:eastAsia="仿宋" w:cs="仿宋"/>
              <w:bCs/>
              <w:spacing w:val="-3"/>
              <w:sz w:val="32"/>
              <w:szCs w:val="32"/>
            </w:rPr>
            <w:tab/>
          </w: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PAGEREF _Toc7927 \h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rPr>
            <w:t>17</w:t>
          </w:r>
          <w:r>
            <w:rPr>
              <w:rFonts w:hint="eastAsia" w:ascii="仿宋" w:hAnsi="仿宋" w:eastAsia="仿宋" w:cs="仿宋"/>
              <w:bCs/>
              <w:spacing w:val="-3"/>
              <w:sz w:val="32"/>
              <w:szCs w:val="32"/>
            </w:rPr>
            <w:fldChar w:fldCharType="end"/>
          </w:r>
          <w:r>
            <w:rPr>
              <w:rFonts w:hint="eastAsia" w:ascii="仿宋" w:hAnsi="仿宋" w:eastAsia="仿宋" w:cs="仿宋"/>
              <w:bCs/>
              <w:spacing w:val="-3"/>
              <w:sz w:val="32"/>
              <w:szCs w:val="32"/>
            </w:rPr>
            <w:fldChar w:fldCharType="end"/>
          </w:r>
        </w:p>
        <w:p w14:paraId="4AC6E500">
          <w:pPr>
            <w:pStyle w:val="7"/>
            <w:keepNext w:val="0"/>
            <w:keepLines w:val="0"/>
            <w:pageBreakBefore w:val="0"/>
            <w:widowControl/>
            <w:tabs>
              <w:tab w:val="right" w:leader="dot" w:pos="9088"/>
            </w:tabs>
            <w:kinsoku w:val="0"/>
            <w:wordWrap/>
            <w:overflowPunct/>
            <w:topLinePunct w:val="0"/>
            <w:autoSpaceDE w:val="0"/>
            <w:autoSpaceDN w:val="0"/>
            <w:bidi w:val="0"/>
            <w:adjustRightInd w:val="0"/>
            <w:snapToGrid w:val="0"/>
            <w:spacing w:line="560" w:lineRule="exact"/>
            <w:ind w:left="0" w:leftChars="0" w:firstLine="628" w:firstLineChars="200"/>
            <w:textAlignment w:val="baseline"/>
            <w:rPr>
              <w:rFonts w:hint="eastAsia" w:ascii="仿宋" w:hAnsi="仿宋" w:eastAsia="仿宋" w:cs="仿宋"/>
              <w:bCs/>
              <w:spacing w:val="-3"/>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_Toc10135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lang w:eastAsia="zh-CN"/>
            </w:rPr>
            <w:t>（三）通信和信息保障</w:t>
          </w:r>
          <w:r>
            <w:rPr>
              <w:rFonts w:hint="eastAsia" w:ascii="仿宋" w:hAnsi="仿宋" w:eastAsia="仿宋" w:cs="仿宋"/>
              <w:bCs/>
              <w:spacing w:val="-3"/>
              <w:sz w:val="32"/>
              <w:szCs w:val="32"/>
            </w:rPr>
            <w:tab/>
          </w: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PAGEREF _Toc10135 \h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rPr>
            <w:t>17</w:t>
          </w:r>
          <w:r>
            <w:rPr>
              <w:rFonts w:hint="eastAsia" w:ascii="仿宋" w:hAnsi="仿宋" w:eastAsia="仿宋" w:cs="仿宋"/>
              <w:bCs/>
              <w:spacing w:val="-3"/>
              <w:sz w:val="32"/>
              <w:szCs w:val="32"/>
            </w:rPr>
            <w:fldChar w:fldCharType="end"/>
          </w:r>
          <w:r>
            <w:rPr>
              <w:rFonts w:hint="eastAsia" w:ascii="仿宋" w:hAnsi="仿宋" w:eastAsia="仿宋" w:cs="仿宋"/>
              <w:bCs/>
              <w:spacing w:val="-3"/>
              <w:sz w:val="32"/>
              <w:szCs w:val="32"/>
            </w:rPr>
            <w:fldChar w:fldCharType="end"/>
          </w:r>
        </w:p>
        <w:p w14:paraId="3B716A94">
          <w:pPr>
            <w:pStyle w:val="7"/>
            <w:keepNext w:val="0"/>
            <w:keepLines w:val="0"/>
            <w:pageBreakBefore w:val="0"/>
            <w:widowControl/>
            <w:tabs>
              <w:tab w:val="right" w:leader="dot" w:pos="9088"/>
            </w:tabs>
            <w:kinsoku w:val="0"/>
            <w:wordWrap/>
            <w:overflowPunct/>
            <w:topLinePunct w:val="0"/>
            <w:autoSpaceDE w:val="0"/>
            <w:autoSpaceDN w:val="0"/>
            <w:bidi w:val="0"/>
            <w:adjustRightInd w:val="0"/>
            <w:snapToGrid w:val="0"/>
            <w:spacing w:line="560" w:lineRule="exact"/>
            <w:ind w:left="0" w:leftChars="0" w:firstLine="628" w:firstLineChars="200"/>
            <w:textAlignment w:val="baseline"/>
            <w:rPr>
              <w:rFonts w:hint="eastAsia" w:ascii="仿宋" w:hAnsi="仿宋" w:eastAsia="仿宋" w:cs="仿宋"/>
              <w:bCs/>
              <w:spacing w:val="-3"/>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_Toc4027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lang w:eastAsia="zh-CN"/>
            </w:rPr>
            <w:t>（四）装备和设施保障</w:t>
          </w:r>
          <w:r>
            <w:rPr>
              <w:rFonts w:hint="eastAsia" w:ascii="仿宋" w:hAnsi="仿宋" w:eastAsia="仿宋" w:cs="仿宋"/>
              <w:bCs/>
              <w:spacing w:val="-3"/>
              <w:sz w:val="32"/>
              <w:szCs w:val="32"/>
            </w:rPr>
            <w:tab/>
          </w: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PAGEREF _Toc4027 \h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rPr>
            <w:t>18</w:t>
          </w:r>
          <w:r>
            <w:rPr>
              <w:rFonts w:hint="eastAsia" w:ascii="仿宋" w:hAnsi="仿宋" w:eastAsia="仿宋" w:cs="仿宋"/>
              <w:bCs/>
              <w:spacing w:val="-3"/>
              <w:sz w:val="32"/>
              <w:szCs w:val="32"/>
            </w:rPr>
            <w:fldChar w:fldCharType="end"/>
          </w:r>
          <w:r>
            <w:rPr>
              <w:rFonts w:hint="eastAsia" w:ascii="仿宋" w:hAnsi="仿宋" w:eastAsia="仿宋" w:cs="仿宋"/>
              <w:bCs/>
              <w:spacing w:val="-3"/>
              <w:sz w:val="32"/>
              <w:szCs w:val="32"/>
            </w:rPr>
            <w:fldChar w:fldCharType="end"/>
          </w:r>
        </w:p>
        <w:p w14:paraId="00F27E44">
          <w:pPr>
            <w:pStyle w:val="7"/>
            <w:keepNext w:val="0"/>
            <w:keepLines w:val="0"/>
            <w:pageBreakBefore w:val="0"/>
            <w:widowControl/>
            <w:tabs>
              <w:tab w:val="right" w:leader="dot" w:pos="9088"/>
            </w:tabs>
            <w:kinsoku w:val="0"/>
            <w:wordWrap/>
            <w:overflowPunct/>
            <w:topLinePunct w:val="0"/>
            <w:autoSpaceDE w:val="0"/>
            <w:autoSpaceDN w:val="0"/>
            <w:bidi w:val="0"/>
            <w:adjustRightInd w:val="0"/>
            <w:snapToGrid w:val="0"/>
            <w:spacing w:line="560" w:lineRule="exact"/>
            <w:ind w:left="0" w:leftChars="0" w:firstLine="628" w:firstLineChars="200"/>
            <w:textAlignment w:val="baseline"/>
            <w:rPr>
              <w:rFonts w:hint="eastAsia" w:ascii="仿宋" w:hAnsi="仿宋" w:eastAsia="仿宋" w:cs="仿宋"/>
              <w:bCs/>
              <w:spacing w:val="-3"/>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_Toc10166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lang w:eastAsia="zh-CN"/>
            </w:rPr>
            <w:t>（五）人力资源保障</w:t>
          </w:r>
          <w:r>
            <w:rPr>
              <w:rFonts w:hint="eastAsia" w:ascii="仿宋" w:hAnsi="仿宋" w:eastAsia="仿宋" w:cs="仿宋"/>
              <w:bCs/>
              <w:spacing w:val="-3"/>
              <w:sz w:val="32"/>
              <w:szCs w:val="32"/>
            </w:rPr>
            <w:tab/>
          </w: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PAGEREF _Toc10166 \h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rPr>
            <w:t>18</w:t>
          </w:r>
          <w:r>
            <w:rPr>
              <w:rFonts w:hint="eastAsia" w:ascii="仿宋" w:hAnsi="仿宋" w:eastAsia="仿宋" w:cs="仿宋"/>
              <w:bCs/>
              <w:spacing w:val="-3"/>
              <w:sz w:val="32"/>
              <w:szCs w:val="32"/>
            </w:rPr>
            <w:fldChar w:fldCharType="end"/>
          </w:r>
          <w:r>
            <w:rPr>
              <w:rFonts w:hint="eastAsia" w:ascii="仿宋" w:hAnsi="仿宋" w:eastAsia="仿宋" w:cs="仿宋"/>
              <w:bCs/>
              <w:spacing w:val="-3"/>
              <w:sz w:val="32"/>
              <w:szCs w:val="32"/>
            </w:rPr>
            <w:fldChar w:fldCharType="end"/>
          </w:r>
        </w:p>
        <w:p w14:paraId="7F1AC5C5">
          <w:pPr>
            <w:pStyle w:val="7"/>
            <w:keepNext w:val="0"/>
            <w:keepLines w:val="0"/>
            <w:pageBreakBefore w:val="0"/>
            <w:widowControl/>
            <w:tabs>
              <w:tab w:val="right" w:leader="dot" w:pos="9088"/>
            </w:tabs>
            <w:kinsoku w:val="0"/>
            <w:wordWrap/>
            <w:overflowPunct/>
            <w:topLinePunct w:val="0"/>
            <w:autoSpaceDE w:val="0"/>
            <w:autoSpaceDN w:val="0"/>
            <w:bidi w:val="0"/>
            <w:adjustRightInd w:val="0"/>
            <w:snapToGrid w:val="0"/>
            <w:spacing w:line="560" w:lineRule="exact"/>
            <w:ind w:left="0" w:leftChars="0" w:firstLine="628" w:firstLineChars="200"/>
            <w:textAlignment w:val="baseline"/>
            <w:rPr>
              <w:rFonts w:hint="eastAsia" w:ascii="仿宋" w:hAnsi="仿宋" w:eastAsia="仿宋" w:cs="仿宋"/>
              <w:bCs/>
              <w:spacing w:val="-3"/>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_Toc11071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lang w:eastAsia="zh-CN"/>
            </w:rPr>
            <w:t>（六）社会动员保障</w:t>
          </w:r>
          <w:r>
            <w:rPr>
              <w:rFonts w:hint="eastAsia" w:ascii="仿宋" w:hAnsi="仿宋" w:eastAsia="仿宋" w:cs="仿宋"/>
              <w:bCs/>
              <w:spacing w:val="-3"/>
              <w:sz w:val="32"/>
              <w:szCs w:val="32"/>
            </w:rPr>
            <w:tab/>
          </w: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PAGEREF _Toc11071 \h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rPr>
            <w:t>18</w:t>
          </w:r>
          <w:r>
            <w:rPr>
              <w:rFonts w:hint="eastAsia" w:ascii="仿宋" w:hAnsi="仿宋" w:eastAsia="仿宋" w:cs="仿宋"/>
              <w:bCs/>
              <w:spacing w:val="-3"/>
              <w:sz w:val="32"/>
              <w:szCs w:val="32"/>
            </w:rPr>
            <w:fldChar w:fldCharType="end"/>
          </w:r>
          <w:r>
            <w:rPr>
              <w:rFonts w:hint="eastAsia" w:ascii="仿宋" w:hAnsi="仿宋" w:eastAsia="仿宋" w:cs="仿宋"/>
              <w:bCs/>
              <w:spacing w:val="-3"/>
              <w:sz w:val="32"/>
              <w:szCs w:val="32"/>
            </w:rPr>
            <w:fldChar w:fldCharType="end"/>
          </w:r>
        </w:p>
        <w:p w14:paraId="65192121">
          <w:pPr>
            <w:pStyle w:val="7"/>
            <w:keepNext w:val="0"/>
            <w:keepLines w:val="0"/>
            <w:pageBreakBefore w:val="0"/>
            <w:widowControl/>
            <w:tabs>
              <w:tab w:val="right" w:leader="dot" w:pos="9088"/>
            </w:tabs>
            <w:kinsoku w:val="0"/>
            <w:wordWrap/>
            <w:overflowPunct/>
            <w:topLinePunct w:val="0"/>
            <w:autoSpaceDE w:val="0"/>
            <w:autoSpaceDN w:val="0"/>
            <w:bidi w:val="0"/>
            <w:adjustRightInd w:val="0"/>
            <w:snapToGrid w:val="0"/>
            <w:spacing w:line="560" w:lineRule="exact"/>
            <w:ind w:left="0" w:leftChars="0" w:firstLine="628" w:firstLineChars="200"/>
            <w:textAlignment w:val="baseline"/>
            <w:rPr>
              <w:rFonts w:hint="eastAsia" w:ascii="仿宋" w:hAnsi="仿宋" w:eastAsia="仿宋" w:cs="仿宋"/>
              <w:bCs/>
              <w:spacing w:val="-3"/>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_Toc18470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lang w:eastAsia="zh-CN"/>
            </w:rPr>
            <w:t>（七）宣传、培训和演练</w:t>
          </w:r>
          <w:r>
            <w:rPr>
              <w:rFonts w:hint="eastAsia" w:ascii="仿宋" w:hAnsi="仿宋" w:eastAsia="仿宋" w:cs="仿宋"/>
              <w:bCs/>
              <w:spacing w:val="-3"/>
              <w:sz w:val="32"/>
              <w:szCs w:val="32"/>
            </w:rPr>
            <w:tab/>
          </w: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PAGEREF _Toc18470 \h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rPr>
            <w:t>19</w:t>
          </w:r>
          <w:r>
            <w:rPr>
              <w:rFonts w:hint="eastAsia" w:ascii="仿宋" w:hAnsi="仿宋" w:eastAsia="仿宋" w:cs="仿宋"/>
              <w:bCs/>
              <w:spacing w:val="-3"/>
              <w:sz w:val="32"/>
              <w:szCs w:val="32"/>
            </w:rPr>
            <w:fldChar w:fldCharType="end"/>
          </w:r>
          <w:r>
            <w:rPr>
              <w:rFonts w:hint="eastAsia" w:ascii="仿宋" w:hAnsi="仿宋" w:eastAsia="仿宋" w:cs="仿宋"/>
              <w:bCs/>
              <w:spacing w:val="-3"/>
              <w:sz w:val="32"/>
              <w:szCs w:val="32"/>
            </w:rPr>
            <w:fldChar w:fldCharType="end"/>
          </w:r>
        </w:p>
        <w:p w14:paraId="07F45D85">
          <w:pPr>
            <w:pStyle w:val="6"/>
            <w:keepNext w:val="0"/>
            <w:keepLines w:val="0"/>
            <w:pageBreakBefore w:val="0"/>
            <w:widowControl/>
            <w:tabs>
              <w:tab w:val="right" w:leader="dot" w:pos="9088"/>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_Toc7451 </w:instrText>
          </w:r>
          <w:r>
            <w:rPr>
              <w:rFonts w:hint="eastAsia" w:ascii="仿宋" w:hAnsi="仿宋" w:eastAsia="仿宋" w:cs="仿宋"/>
              <w:bCs/>
              <w:spacing w:val="-3"/>
              <w:sz w:val="32"/>
              <w:szCs w:val="32"/>
            </w:rPr>
            <w:fldChar w:fldCharType="separate"/>
          </w:r>
          <w:r>
            <w:rPr>
              <w:rFonts w:hint="eastAsia" w:ascii="仿宋" w:hAnsi="仿宋" w:eastAsia="仿宋" w:cs="仿宋"/>
              <w:spacing w:val="1"/>
              <w:sz w:val="32"/>
              <w:szCs w:val="32"/>
              <w:lang w:eastAsia="zh-CN"/>
            </w:rPr>
            <w:t>九、预案管理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_Toc7451 \h </w:instrText>
          </w:r>
          <w:r>
            <w:rPr>
              <w:rFonts w:hint="eastAsia" w:ascii="仿宋" w:hAnsi="仿宋" w:eastAsia="仿宋" w:cs="仿宋"/>
              <w:sz w:val="32"/>
              <w:szCs w:val="32"/>
            </w:rPr>
            <w:fldChar w:fldCharType="separate"/>
          </w:r>
          <w:r>
            <w:rPr>
              <w:rFonts w:hint="eastAsia"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65A06464">
          <w:pPr>
            <w:pStyle w:val="7"/>
            <w:keepNext w:val="0"/>
            <w:keepLines w:val="0"/>
            <w:pageBreakBefore w:val="0"/>
            <w:widowControl/>
            <w:tabs>
              <w:tab w:val="right" w:leader="dot" w:pos="9088"/>
            </w:tabs>
            <w:kinsoku w:val="0"/>
            <w:wordWrap/>
            <w:overflowPunct/>
            <w:topLinePunct w:val="0"/>
            <w:autoSpaceDE w:val="0"/>
            <w:autoSpaceDN w:val="0"/>
            <w:bidi w:val="0"/>
            <w:adjustRightInd w:val="0"/>
            <w:snapToGrid w:val="0"/>
            <w:spacing w:line="560" w:lineRule="exact"/>
            <w:ind w:left="0" w:leftChars="0" w:firstLine="628" w:firstLineChars="200"/>
            <w:textAlignment w:val="baseline"/>
            <w:rPr>
              <w:rFonts w:hint="eastAsia" w:ascii="仿宋" w:hAnsi="仿宋" w:eastAsia="仿宋" w:cs="仿宋"/>
              <w:bCs/>
              <w:spacing w:val="-3"/>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_Toc29877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lang w:eastAsia="zh-CN"/>
            </w:rPr>
            <w:t>（一）编制、审查与审批</w:t>
          </w:r>
          <w:r>
            <w:rPr>
              <w:rFonts w:hint="eastAsia" w:ascii="仿宋" w:hAnsi="仿宋" w:eastAsia="仿宋" w:cs="仿宋"/>
              <w:bCs/>
              <w:spacing w:val="-3"/>
              <w:sz w:val="32"/>
              <w:szCs w:val="32"/>
            </w:rPr>
            <w:tab/>
          </w: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PAGEREF _Toc29877 \h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rPr>
            <w:t>19</w:t>
          </w:r>
          <w:r>
            <w:rPr>
              <w:rFonts w:hint="eastAsia" w:ascii="仿宋" w:hAnsi="仿宋" w:eastAsia="仿宋" w:cs="仿宋"/>
              <w:bCs/>
              <w:spacing w:val="-3"/>
              <w:sz w:val="32"/>
              <w:szCs w:val="32"/>
            </w:rPr>
            <w:fldChar w:fldCharType="end"/>
          </w:r>
          <w:r>
            <w:rPr>
              <w:rFonts w:hint="eastAsia" w:ascii="仿宋" w:hAnsi="仿宋" w:eastAsia="仿宋" w:cs="仿宋"/>
              <w:bCs/>
              <w:spacing w:val="-3"/>
              <w:sz w:val="32"/>
              <w:szCs w:val="32"/>
            </w:rPr>
            <w:fldChar w:fldCharType="end"/>
          </w:r>
        </w:p>
        <w:p w14:paraId="7734871A">
          <w:pPr>
            <w:pStyle w:val="7"/>
            <w:keepNext w:val="0"/>
            <w:keepLines w:val="0"/>
            <w:pageBreakBefore w:val="0"/>
            <w:widowControl/>
            <w:tabs>
              <w:tab w:val="right" w:leader="dot" w:pos="9088"/>
            </w:tabs>
            <w:kinsoku w:val="0"/>
            <w:wordWrap/>
            <w:overflowPunct/>
            <w:topLinePunct w:val="0"/>
            <w:autoSpaceDE w:val="0"/>
            <w:autoSpaceDN w:val="0"/>
            <w:bidi w:val="0"/>
            <w:adjustRightInd w:val="0"/>
            <w:snapToGrid w:val="0"/>
            <w:spacing w:line="560" w:lineRule="exact"/>
            <w:ind w:left="0" w:leftChars="0" w:firstLine="628" w:firstLineChars="200"/>
            <w:textAlignment w:val="baseline"/>
            <w:rPr>
              <w:rFonts w:hint="eastAsia" w:ascii="仿宋" w:hAnsi="仿宋" w:eastAsia="仿宋" w:cs="仿宋"/>
              <w:bCs/>
              <w:spacing w:val="-3"/>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_Toc7723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lang w:eastAsia="zh-CN"/>
            </w:rPr>
            <w:t>（二）宣传教育和培训</w:t>
          </w:r>
          <w:r>
            <w:rPr>
              <w:rFonts w:hint="eastAsia" w:ascii="仿宋" w:hAnsi="仿宋" w:eastAsia="仿宋" w:cs="仿宋"/>
              <w:bCs/>
              <w:spacing w:val="-3"/>
              <w:sz w:val="32"/>
              <w:szCs w:val="32"/>
            </w:rPr>
            <w:tab/>
          </w: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PAGEREF _Toc7723 \h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rPr>
            <w:t>20</w:t>
          </w:r>
          <w:r>
            <w:rPr>
              <w:rFonts w:hint="eastAsia" w:ascii="仿宋" w:hAnsi="仿宋" w:eastAsia="仿宋" w:cs="仿宋"/>
              <w:bCs/>
              <w:spacing w:val="-3"/>
              <w:sz w:val="32"/>
              <w:szCs w:val="32"/>
            </w:rPr>
            <w:fldChar w:fldCharType="end"/>
          </w:r>
          <w:r>
            <w:rPr>
              <w:rFonts w:hint="eastAsia" w:ascii="仿宋" w:hAnsi="仿宋" w:eastAsia="仿宋" w:cs="仿宋"/>
              <w:bCs/>
              <w:spacing w:val="-3"/>
              <w:sz w:val="32"/>
              <w:szCs w:val="32"/>
            </w:rPr>
            <w:fldChar w:fldCharType="end"/>
          </w:r>
        </w:p>
        <w:p w14:paraId="140ED1E7">
          <w:pPr>
            <w:pStyle w:val="7"/>
            <w:keepNext w:val="0"/>
            <w:keepLines w:val="0"/>
            <w:pageBreakBefore w:val="0"/>
            <w:widowControl/>
            <w:tabs>
              <w:tab w:val="right" w:leader="dot" w:pos="9088"/>
            </w:tabs>
            <w:kinsoku w:val="0"/>
            <w:wordWrap/>
            <w:overflowPunct/>
            <w:topLinePunct w:val="0"/>
            <w:autoSpaceDE w:val="0"/>
            <w:autoSpaceDN w:val="0"/>
            <w:bidi w:val="0"/>
            <w:adjustRightInd w:val="0"/>
            <w:snapToGrid w:val="0"/>
            <w:spacing w:line="560" w:lineRule="exact"/>
            <w:ind w:left="0" w:leftChars="0" w:firstLine="628" w:firstLineChars="200"/>
            <w:textAlignment w:val="baseline"/>
            <w:rPr>
              <w:rFonts w:hint="eastAsia" w:ascii="仿宋" w:hAnsi="仿宋" w:eastAsia="仿宋" w:cs="仿宋"/>
              <w:bCs/>
              <w:spacing w:val="-3"/>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_Toc13802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lang w:eastAsia="zh-CN"/>
            </w:rPr>
            <w:t>（三）修订与更新</w:t>
          </w:r>
          <w:r>
            <w:rPr>
              <w:rFonts w:hint="eastAsia" w:ascii="仿宋" w:hAnsi="仿宋" w:eastAsia="仿宋" w:cs="仿宋"/>
              <w:bCs/>
              <w:spacing w:val="-3"/>
              <w:sz w:val="32"/>
              <w:szCs w:val="32"/>
            </w:rPr>
            <w:tab/>
          </w: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PAGEREF _Toc13802 \h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rPr>
            <w:t>20</w:t>
          </w:r>
          <w:r>
            <w:rPr>
              <w:rFonts w:hint="eastAsia" w:ascii="仿宋" w:hAnsi="仿宋" w:eastAsia="仿宋" w:cs="仿宋"/>
              <w:bCs/>
              <w:spacing w:val="-3"/>
              <w:sz w:val="32"/>
              <w:szCs w:val="32"/>
            </w:rPr>
            <w:fldChar w:fldCharType="end"/>
          </w:r>
          <w:r>
            <w:rPr>
              <w:rFonts w:hint="eastAsia" w:ascii="仿宋" w:hAnsi="仿宋" w:eastAsia="仿宋" w:cs="仿宋"/>
              <w:bCs/>
              <w:spacing w:val="-3"/>
              <w:sz w:val="32"/>
              <w:szCs w:val="32"/>
            </w:rPr>
            <w:fldChar w:fldCharType="end"/>
          </w:r>
        </w:p>
        <w:p w14:paraId="492B1762">
          <w:pPr>
            <w:pStyle w:val="7"/>
            <w:keepNext w:val="0"/>
            <w:keepLines w:val="0"/>
            <w:pageBreakBefore w:val="0"/>
            <w:widowControl/>
            <w:tabs>
              <w:tab w:val="right" w:leader="dot" w:pos="9088"/>
            </w:tabs>
            <w:kinsoku w:val="0"/>
            <w:wordWrap/>
            <w:overflowPunct/>
            <w:topLinePunct w:val="0"/>
            <w:autoSpaceDE w:val="0"/>
            <w:autoSpaceDN w:val="0"/>
            <w:bidi w:val="0"/>
            <w:adjustRightInd w:val="0"/>
            <w:snapToGrid w:val="0"/>
            <w:spacing w:line="560" w:lineRule="exact"/>
            <w:ind w:left="0" w:leftChars="0" w:firstLine="628" w:firstLineChars="200"/>
            <w:textAlignment w:val="baseline"/>
            <w:rPr>
              <w:rFonts w:hint="eastAsia" w:ascii="仿宋" w:hAnsi="仿宋" w:eastAsia="仿宋" w:cs="仿宋"/>
              <w:bCs/>
              <w:spacing w:val="-3"/>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_Toc887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lang w:eastAsia="zh-CN"/>
            </w:rPr>
            <w:t>（四）生效时间</w:t>
          </w:r>
          <w:r>
            <w:rPr>
              <w:rFonts w:hint="eastAsia" w:ascii="仿宋" w:hAnsi="仿宋" w:eastAsia="仿宋" w:cs="仿宋"/>
              <w:bCs/>
              <w:spacing w:val="-3"/>
              <w:sz w:val="32"/>
              <w:szCs w:val="32"/>
            </w:rPr>
            <w:tab/>
          </w: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PAGEREF _Toc887 \h </w:instrText>
          </w:r>
          <w:r>
            <w:rPr>
              <w:rFonts w:hint="eastAsia" w:ascii="仿宋" w:hAnsi="仿宋" w:eastAsia="仿宋" w:cs="仿宋"/>
              <w:bCs/>
              <w:spacing w:val="-3"/>
              <w:sz w:val="32"/>
              <w:szCs w:val="32"/>
            </w:rPr>
            <w:fldChar w:fldCharType="separate"/>
          </w:r>
          <w:r>
            <w:rPr>
              <w:rFonts w:hint="eastAsia" w:ascii="仿宋" w:hAnsi="仿宋" w:eastAsia="仿宋" w:cs="仿宋"/>
              <w:bCs/>
              <w:spacing w:val="-3"/>
              <w:sz w:val="32"/>
              <w:szCs w:val="32"/>
            </w:rPr>
            <w:t>21</w:t>
          </w:r>
          <w:r>
            <w:rPr>
              <w:rFonts w:hint="eastAsia" w:ascii="仿宋" w:hAnsi="仿宋" w:eastAsia="仿宋" w:cs="仿宋"/>
              <w:bCs/>
              <w:spacing w:val="-3"/>
              <w:sz w:val="32"/>
              <w:szCs w:val="32"/>
            </w:rPr>
            <w:fldChar w:fldCharType="end"/>
          </w:r>
          <w:r>
            <w:rPr>
              <w:rFonts w:hint="eastAsia" w:ascii="仿宋" w:hAnsi="仿宋" w:eastAsia="仿宋" w:cs="仿宋"/>
              <w:bCs/>
              <w:spacing w:val="-3"/>
              <w:sz w:val="32"/>
              <w:szCs w:val="32"/>
            </w:rPr>
            <w:fldChar w:fldCharType="end"/>
          </w:r>
        </w:p>
        <w:p w14:paraId="5572B0C0">
          <w:pPr>
            <w:pStyle w:val="6"/>
            <w:keepNext w:val="0"/>
            <w:keepLines w:val="0"/>
            <w:pageBreakBefore w:val="0"/>
            <w:widowControl/>
            <w:tabs>
              <w:tab w:val="right" w:leader="dot" w:pos="9088"/>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_Toc10471 </w:instrText>
          </w:r>
          <w:r>
            <w:rPr>
              <w:rFonts w:hint="eastAsia" w:ascii="仿宋" w:hAnsi="仿宋" w:eastAsia="仿宋" w:cs="仿宋"/>
              <w:bCs/>
              <w:spacing w:val="-3"/>
              <w:sz w:val="32"/>
              <w:szCs w:val="32"/>
            </w:rPr>
            <w:fldChar w:fldCharType="separate"/>
          </w:r>
          <w:r>
            <w:rPr>
              <w:rFonts w:hint="eastAsia" w:ascii="仿宋" w:hAnsi="仿宋" w:eastAsia="仿宋" w:cs="仿宋"/>
              <w:spacing w:val="1"/>
              <w:sz w:val="32"/>
              <w:szCs w:val="32"/>
              <w:lang w:eastAsia="zh-CN"/>
            </w:rPr>
            <w:t>十、术语解释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_Toc10471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36564513">
          <w:pPr>
            <w:pStyle w:val="6"/>
            <w:keepNext w:val="0"/>
            <w:keepLines w:val="0"/>
            <w:pageBreakBefore w:val="0"/>
            <w:widowControl/>
            <w:tabs>
              <w:tab w:val="right" w:leader="dot" w:pos="9088"/>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_Toc26881 </w:instrText>
          </w:r>
          <w:r>
            <w:rPr>
              <w:rFonts w:hint="eastAsia" w:ascii="仿宋" w:hAnsi="仿宋" w:eastAsia="仿宋" w:cs="仿宋"/>
              <w:bCs/>
              <w:spacing w:val="-3"/>
              <w:sz w:val="32"/>
              <w:szCs w:val="32"/>
            </w:rPr>
            <w:fldChar w:fldCharType="separate"/>
          </w:r>
          <w:r>
            <w:rPr>
              <w:rFonts w:hint="eastAsia" w:ascii="仿宋" w:hAnsi="仿宋" w:eastAsia="仿宋" w:cs="仿宋"/>
              <w:spacing w:val="1"/>
              <w:sz w:val="32"/>
              <w:szCs w:val="32"/>
              <w:lang w:eastAsia="zh-CN"/>
            </w:rPr>
            <w:t>十一、附</w:t>
          </w:r>
          <w:r>
            <w:rPr>
              <w:rFonts w:hint="eastAsia" w:ascii="仿宋" w:hAnsi="仿宋" w:eastAsia="仿宋" w:cs="仿宋"/>
              <w:spacing w:val="1"/>
              <w:sz w:val="32"/>
              <w:szCs w:val="32"/>
              <w:lang w:val="en-US" w:eastAsia="zh-CN"/>
            </w:rPr>
            <w:t xml:space="preserve">件 </w:t>
          </w:r>
          <w:r>
            <w:rPr>
              <w:rFonts w:hint="eastAsia" w:ascii="仿宋" w:hAnsi="仿宋" w:eastAsia="仿宋" w:cs="仿宋"/>
              <w:bCs/>
              <w:spacing w:val="-3"/>
              <w:sz w:val="32"/>
              <w:szCs w:val="32"/>
              <w:lang w:eastAsia="zh-CN"/>
            </w:rPr>
            <w:t>向阳区安全生产和防灾减灾救灾委员会体系图</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_Toc26881 \h </w:instrText>
          </w:r>
          <w:r>
            <w:rPr>
              <w:rFonts w:hint="eastAsia" w:ascii="仿宋" w:hAnsi="仿宋" w:eastAsia="仿宋" w:cs="仿宋"/>
              <w:sz w:val="32"/>
              <w:szCs w:val="32"/>
            </w:rPr>
            <w:fldChar w:fldCharType="separate"/>
          </w:r>
          <w:r>
            <w:rPr>
              <w:rFonts w:hint="eastAsia" w:ascii="仿宋" w:hAnsi="仿宋" w:eastAsia="仿宋" w:cs="仿宋"/>
              <w:sz w:val="32"/>
              <w:szCs w:val="32"/>
            </w:rPr>
            <w:t>22</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33213D22">
          <w:pPr>
            <w:pStyle w:val="6"/>
            <w:keepNext w:val="0"/>
            <w:keepLines w:val="0"/>
            <w:pageBreakBefore w:val="0"/>
            <w:widowControl/>
            <w:tabs>
              <w:tab w:val="right" w:leader="dot" w:pos="9088"/>
            </w:tabs>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bCs/>
              <w:spacing w:val="-3"/>
              <w:sz w:val="32"/>
              <w:szCs w:val="32"/>
            </w:rPr>
          </w:pPr>
          <w:r>
            <w:rPr>
              <w:rFonts w:hint="eastAsia" w:ascii="仿宋" w:hAnsi="仿宋" w:eastAsia="仿宋" w:cs="仿宋"/>
              <w:bCs/>
              <w:spacing w:val="-3"/>
              <w:sz w:val="32"/>
              <w:szCs w:val="32"/>
            </w:rPr>
            <w:fldChar w:fldCharType="end"/>
          </w:r>
        </w:p>
      </w:sdtContent>
    </w:sdt>
    <w:p w14:paraId="405F490B">
      <w:pPr>
        <w:keepNext w:val="0"/>
        <w:keepLines w:val="0"/>
        <w:pageBreakBefore w:val="0"/>
        <w:widowControl/>
        <w:kinsoku w:val="0"/>
        <w:wordWrap/>
        <w:overflowPunct/>
        <w:topLinePunct w:val="0"/>
        <w:autoSpaceDE w:val="0"/>
        <w:autoSpaceDN w:val="0"/>
        <w:bidi w:val="0"/>
        <w:adjustRightInd w:val="0"/>
        <w:snapToGrid w:val="0"/>
        <w:spacing w:line="560" w:lineRule="exact"/>
        <w:ind w:firstLine="628" w:firstLineChars="200"/>
        <w:textAlignment w:val="baseline"/>
        <w:outlineLvl w:val="0"/>
        <w:rPr>
          <w:rFonts w:hint="eastAsia" w:ascii="黑体" w:hAnsi="黑体" w:eastAsia="黑体" w:cs="黑体"/>
          <w:color w:val="auto"/>
          <w:spacing w:val="-3"/>
          <w:sz w:val="32"/>
          <w:szCs w:val="32"/>
          <w:lang w:eastAsia="zh-CN"/>
        </w:rPr>
        <w:sectPr>
          <w:headerReference r:id="rId4" w:type="default"/>
          <w:footerReference r:id="rId5" w:type="default"/>
          <w:pgSz w:w="11906" w:h="16839"/>
          <w:pgMar w:top="1582" w:right="1338" w:bottom="1179" w:left="1480" w:header="0" w:footer="1119" w:gutter="0"/>
          <w:pgNumType w:fmt="decimal" w:start="1"/>
          <w:cols w:space="720" w:num="1"/>
        </w:sectPr>
      </w:pPr>
    </w:p>
    <w:p w14:paraId="1D3309B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仿宋_GB2312" w:hAnsi="仿宋_GB2312" w:eastAsia="仿宋_GB2312" w:cs="仿宋_GB2312"/>
          <w:color w:val="auto"/>
          <w:spacing w:val="0"/>
          <w:sz w:val="32"/>
          <w:szCs w:val="32"/>
          <w:lang w:eastAsia="zh-CN"/>
        </w:rPr>
      </w:pPr>
      <w:bookmarkStart w:id="38" w:name="_GoBack"/>
      <w:bookmarkStart w:id="0" w:name="_Toc22097"/>
      <w:r>
        <w:rPr>
          <w:rFonts w:hint="eastAsia" w:ascii="黑体" w:hAnsi="黑体" w:eastAsia="黑体" w:cs="黑体"/>
          <w:color w:val="auto"/>
          <w:spacing w:val="0"/>
          <w:sz w:val="32"/>
          <w:szCs w:val="32"/>
          <w:lang w:eastAsia="zh-CN"/>
        </w:rPr>
        <w:t>一、总则</w:t>
      </w:r>
      <w:bookmarkEnd w:id="0"/>
    </w:p>
    <w:p w14:paraId="4A09369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1" w:name="_Toc1367"/>
      <w:r>
        <w:rPr>
          <w:rFonts w:hint="eastAsia" w:ascii="楷体" w:hAnsi="楷体" w:eastAsia="楷体" w:cs="楷体"/>
          <w:b w:val="0"/>
          <w:bCs w:val="0"/>
          <w:color w:val="auto"/>
          <w:spacing w:val="0"/>
          <w:sz w:val="32"/>
          <w:szCs w:val="32"/>
          <w:lang w:eastAsia="zh-CN"/>
        </w:rPr>
        <w:t>（一）编制目的</w:t>
      </w:r>
      <w:bookmarkEnd w:id="1"/>
    </w:p>
    <w:p w14:paraId="5E80B2D2">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为建立健全向阳区自然灾害救助体系与运行机制，提升灾害救助工作的法治化、规范化、现代化水平，提高防灾减灾救灾和灾害处置保障能力，最大程度减少人员伤亡与财产损失，保障受灾群众基本生活，维护受灾地区社会稳定，特制定本预案。</w:t>
      </w:r>
    </w:p>
    <w:p w14:paraId="0A590C5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2" w:name="_Toc918"/>
      <w:r>
        <w:rPr>
          <w:rFonts w:hint="eastAsia" w:ascii="楷体" w:hAnsi="楷体" w:eastAsia="楷体" w:cs="楷体"/>
          <w:b w:val="0"/>
          <w:bCs w:val="0"/>
          <w:color w:val="auto"/>
          <w:spacing w:val="0"/>
          <w:sz w:val="32"/>
          <w:szCs w:val="32"/>
          <w:lang w:eastAsia="zh-CN"/>
        </w:rPr>
        <w:t>（二）编制依据</w:t>
      </w:r>
      <w:bookmarkEnd w:id="2"/>
    </w:p>
    <w:p w14:paraId="153A33B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1.《中华人民共和国突发事件应对法》（主席令第25号）</w:t>
      </w:r>
    </w:p>
    <w:p w14:paraId="74DF382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2.《中华人民共和国防洪法》（主席令第48号）</w:t>
      </w:r>
    </w:p>
    <w:p w14:paraId="327A9C0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3.《中华人民共和国气象法》（主席令第57号）</w:t>
      </w:r>
    </w:p>
    <w:p w14:paraId="24C1245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4.《中华人民共和国防震减灾法》（主席令第7号）</w:t>
      </w:r>
    </w:p>
    <w:p w14:paraId="209C0F5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5.《中华人民共和国自然灾害救助条例》（国务院令第577号，2019年修正）</w:t>
      </w:r>
    </w:p>
    <w:p w14:paraId="1E0598D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6.《中华人民共和国预算法》（主席令第22号）</w:t>
      </w:r>
    </w:p>
    <w:p w14:paraId="4ADA6D9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7.</w:t>
      </w:r>
      <w:r>
        <w:rPr>
          <w:rFonts w:hint="eastAsia" w:ascii="仿宋" w:hAnsi="仿宋" w:eastAsia="仿宋" w:cs="仿宋"/>
          <w:color w:val="auto"/>
          <w:spacing w:val="0"/>
          <w:sz w:val="32"/>
          <w:szCs w:val="32"/>
          <w:lang w:val="en-US" w:eastAsia="zh-CN"/>
        </w:rPr>
        <w:t>《黑龙江省人民政府办公厅关于印发〈黑龙江省突发事件应急预案管理办法〉的通知》（黑政办发〔2024〕12号）</w:t>
      </w:r>
    </w:p>
    <w:p w14:paraId="3998118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8.《佳木斯市自然灾害救助应急保障预案》（佳政办规〔2025〕3号）</w:t>
      </w:r>
    </w:p>
    <w:p w14:paraId="19E48F7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9.《佳木斯市向阳区突发事件总体应急预案》</w:t>
      </w:r>
    </w:p>
    <w:p w14:paraId="706120B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bCs/>
          <w:color w:val="auto"/>
          <w:spacing w:val="0"/>
          <w:sz w:val="32"/>
          <w:szCs w:val="32"/>
          <w:lang w:eastAsia="zh-CN"/>
        </w:rPr>
      </w:pPr>
      <w:bookmarkStart w:id="3" w:name="_Toc23379"/>
      <w:r>
        <w:rPr>
          <w:rFonts w:hint="eastAsia" w:ascii="楷体" w:hAnsi="楷体" w:eastAsia="楷体" w:cs="楷体"/>
          <w:b w:val="0"/>
          <w:bCs w:val="0"/>
          <w:color w:val="auto"/>
          <w:spacing w:val="0"/>
          <w:sz w:val="32"/>
          <w:szCs w:val="32"/>
          <w:lang w:eastAsia="zh-CN"/>
        </w:rPr>
        <w:t>（三）工作原则</w:t>
      </w:r>
      <w:bookmarkEnd w:id="3"/>
    </w:p>
    <w:p w14:paraId="593043A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1.坚持人民至上、生命至上原则，把人民生命财产安全放在第一位。</w:t>
      </w:r>
    </w:p>
    <w:p w14:paraId="2BA0223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2.坚持安全第一、预防为主原则，推动防范救援救灾一体化建设，强化灾害防、抗、救全过程管理。</w:t>
      </w:r>
    </w:p>
    <w:p w14:paraId="394DECA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3.坚持党委领导、政府负责、社会参与、群众自救原则，充分发挥基层群众性自治组织和公益性社会组织的作用。</w:t>
      </w:r>
    </w:p>
    <w:p w14:paraId="7D7BA2F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4.坚持统一指挥、综合协调、分级负责、属地管理为主原则，做到及时、快速、准确应对。</w:t>
      </w:r>
    </w:p>
    <w:p w14:paraId="0B28E78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4" w:name="_Toc16225"/>
      <w:r>
        <w:rPr>
          <w:rFonts w:hint="eastAsia" w:ascii="楷体" w:hAnsi="楷体" w:eastAsia="楷体" w:cs="楷体"/>
          <w:b w:val="0"/>
          <w:bCs w:val="0"/>
          <w:color w:val="auto"/>
          <w:spacing w:val="0"/>
          <w:sz w:val="32"/>
          <w:szCs w:val="32"/>
          <w:lang w:eastAsia="zh-CN"/>
        </w:rPr>
        <w:t>（四）适用范围</w:t>
      </w:r>
      <w:bookmarkEnd w:id="4"/>
    </w:p>
    <w:p w14:paraId="3B480109">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outlineLvl w:val="9"/>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1.基本情况介绍</w:t>
      </w:r>
    </w:p>
    <w:p w14:paraId="545C96ED">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outlineLvl w:val="9"/>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向阳区位于佳木斯市中心区域，西起红旗街、万新街，东至中</w:t>
      </w:r>
      <w:r>
        <w:rPr>
          <w:rFonts w:hint="eastAsia" w:ascii="仿宋" w:hAnsi="仿宋" w:eastAsia="仿宋" w:cs="仿宋"/>
          <w:color w:val="auto"/>
          <w:spacing w:val="0"/>
          <w:sz w:val="32"/>
          <w:szCs w:val="32"/>
          <w:lang w:eastAsia="zh-CN"/>
        </w:rPr>
        <w:t>山街，南起同三高速公路，北至松花江（柳树岛）。辖区总面积38平方公里，人口29.5万，辖5个街道办事处、30个社区、5个行政村和3个柳树岛自然屯。</w:t>
      </w:r>
    </w:p>
    <w:p w14:paraId="7F16E812">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outlineLvl w:val="9"/>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向阳区所属的佳木斯市属中温带大陆性季风气候，雨热同期，冬长夏短，无霜期140天左右，年平均降水量527毫米，日照时数2525小时，有效积温2590℃。全区均属三江平原内，北临松花江，区内地势平坦。</w:t>
      </w:r>
    </w:p>
    <w:p w14:paraId="2CD202E9">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outlineLvl w:val="9"/>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向阳区在黑龙江东部地区形成了以现代商贸、现代教育医疗、现代科技文化、现代生态观光旅游集散等为主的现代服务业中心态势，是佳木斯市人流、物流、资金流、信息流高度汇集的中心</w:t>
      </w:r>
      <w:r>
        <w:rPr>
          <w:rFonts w:hint="eastAsia" w:ascii="仿宋" w:hAnsi="仿宋" w:eastAsia="仿宋" w:cs="仿宋"/>
          <w:color w:val="auto"/>
          <w:spacing w:val="0"/>
          <w:sz w:val="32"/>
          <w:szCs w:val="32"/>
          <w:lang w:val="en-US" w:eastAsia="zh-CN"/>
        </w:rPr>
        <w:t>城区</w:t>
      </w:r>
      <w:r>
        <w:rPr>
          <w:rFonts w:hint="eastAsia" w:ascii="仿宋" w:hAnsi="仿宋" w:eastAsia="仿宋" w:cs="仿宋"/>
          <w:color w:val="auto"/>
          <w:spacing w:val="0"/>
          <w:sz w:val="32"/>
          <w:szCs w:val="32"/>
          <w:lang w:eastAsia="zh-CN"/>
        </w:rPr>
        <w:t>。</w:t>
      </w:r>
    </w:p>
    <w:p w14:paraId="0FC66E9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2.自然灾害分析</w:t>
      </w:r>
    </w:p>
    <w:p w14:paraId="4A8DC823">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经上述情况分析，向阳区范围内造成或可能造成人员伤亡、重大财产损失和重大社会影响的、涉及公共安全的自然灾害主要包括：暴雨、干旱、高温、大风、冰雹、雷电、寒潮、冰冻、大雾、霾、暴雪等气象灾害、地震灾害、重大生物灾害等自然灾害。</w:t>
      </w:r>
    </w:p>
    <w:p w14:paraId="3C43B76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3.本预案适用范围</w:t>
      </w:r>
    </w:p>
    <w:p w14:paraId="0CE0290A">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1</w:t>
      </w:r>
      <w:r>
        <w:rPr>
          <w:rFonts w:hint="eastAsia" w:ascii="仿宋" w:hAnsi="仿宋" w:eastAsia="仿宋" w:cs="仿宋"/>
          <w:color w:val="auto"/>
          <w:spacing w:val="0"/>
          <w:sz w:val="32"/>
          <w:szCs w:val="32"/>
          <w:lang w:eastAsia="zh-CN"/>
        </w:rPr>
        <w:t>）本预案适用于气象灾害、地震灾害、重大生物灾害等自然灾害的应急救助工作。</w:t>
      </w:r>
    </w:p>
    <w:p w14:paraId="0E931BB5">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2</w:t>
      </w:r>
      <w:r>
        <w:rPr>
          <w:rFonts w:hint="eastAsia" w:ascii="仿宋" w:hAnsi="仿宋" w:eastAsia="仿宋" w:cs="仿宋"/>
          <w:color w:val="auto"/>
          <w:spacing w:val="0"/>
          <w:sz w:val="32"/>
          <w:szCs w:val="32"/>
          <w:lang w:eastAsia="zh-CN"/>
        </w:rPr>
        <w:t>）因自然灾害引发其他类型突发事件，可参照本预案和其他类型突发事件应急预案的规定开展应急救助工作。</w:t>
      </w:r>
    </w:p>
    <w:p w14:paraId="3C9AB5A3">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3</w:t>
      </w:r>
      <w:r>
        <w:rPr>
          <w:rFonts w:hint="eastAsia" w:ascii="仿宋" w:hAnsi="仿宋" w:eastAsia="仿宋" w:cs="仿宋"/>
          <w:color w:val="auto"/>
          <w:spacing w:val="0"/>
          <w:sz w:val="32"/>
          <w:szCs w:val="32"/>
          <w:lang w:eastAsia="zh-CN"/>
        </w:rPr>
        <w:t>）当临近行政区域发生重特大自然灾害并对我行政区域可能造成重大影响时，按照本预案开展应急救助工作。</w:t>
      </w:r>
    </w:p>
    <w:p w14:paraId="1637019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bookmarkStart w:id="5" w:name="_Toc26968"/>
      <w:r>
        <w:rPr>
          <w:rFonts w:hint="eastAsia" w:ascii="黑体" w:hAnsi="黑体" w:eastAsia="黑体" w:cs="黑体"/>
          <w:color w:val="auto"/>
          <w:spacing w:val="0"/>
          <w:sz w:val="32"/>
          <w:szCs w:val="32"/>
          <w:lang w:eastAsia="zh-CN"/>
        </w:rPr>
        <w:t>二、组织指挥机构</w:t>
      </w:r>
      <w:bookmarkEnd w:id="5"/>
    </w:p>
    <w:p w14:paraId="57459DE1">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highlight w:val="none"/>
          <w:lang w:eastAsia="zh-CN"/>
        </w:rPr>
        <w:t>向阳区安全生产和防灾减灾救灾委员会为自然灾害救助应急综合协调机构，负责组织、领导全区的自然灾害救助工作，协调开展一般、较大自然灾害救助活动。区安全生产和防灾减灾救灾委员会相</w:t>
      </w:r>
      <w:r>
        <w:rPr>
          <w:rFonts w:hint="eastAsia" w:ascii="仿宋" w:hAnsi="仿宋" w:eastAsia="仿宋" w:cs="仿宋"/>
          <w:color w:val="auto"/>
          <w:spacing w:val="0"/>
          <w:sz w:val="32"/>
          <w:szCs w:val="32"/>
          <w:lang w:eastAsia="zh-CN"/>
        </w:rPr>
        <w:t>关成员单位按照各自职责做好自然灾害救助相关工作。区应急局承担安全生产和防灾减灾救灾委员会办公室工作。由省委、省政府或市委、市政府统一组织开展的自然灾害救助，按有关规定执行。</w:t>
      </w:r>
    </w:p>
    <w:p w14:paraId="2EDE6C90">
      <w:pPr>
        <w:keepNext w:val="0"/>
        <w:keepLines w:val="0"/>
        <w:pageBreakBefore w:val="0"/>
        <w:widowControl w:val="0"/>
        <w:numPr>
          <w:ilvl w:val="0"/>
          <w:numId w:val="0"/>
        </w:numPr>
        <w:tabs>
          <w:tab w:val="left" w:pos="305"/>
        </w:tabs>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bookmarkStart w:id="6" w:name="_Toc24897"/>
      <w:r>
        <w:rPr>
          <w:rFonts w:hint="eastAsia" w:ascii="黑体" w:hAnsi="黑体" w:eastAsia="黑体" w:cs="黑体"/>
          <w:color w:val="auto"/>
          <w:spacing w:val="0"/>
          <w:sz w:val="32"/>
          <w:szCs w:val="32"/>
          <w:lang w:val="en-US" w:eastAsia="zh-CN"/>
        </w:rPr>
        <w:t>三、</w:t>
      </w:r>
      <w:r>
        <w:rPr>
          <w:rFonts w:hint="eastAsia" w:ascii="黑体" w:hAnsi="黑体" w:eastAsia="黑体" w:cs="黑体"/>
          <w:color w:val="auto"/>
          <w:spacing w:val="0"/>
          <w:sz w:val="32"/>
          <w:szCs w:val="32"/>
          <w:lang w:eastAsia="zh-CN"/>
        </w:rPr>
        <w:t>风险管控</w:t>
      </w:r>
      <w:bookmarkEnd w:id="6"/>
    </w:p>
    <w:p w14:paraId="7372626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楷体" w:hAnsi="楷体" w:eastAsia="楷体" w:cs="楷体"/>
          <w:b w:val="0"/>
          <w:bCs w:val="0"/>
          <w:color w:val="auto"/>
          <w:spacing w:val="0"/>
          <w:sz w:val="32"/>
          <w:szCs w:val="32"/>
          <w:lang w:eastAsia="zh-CN"/>
        </w:rPr>
      </w:pPr>
      <w:bookmarkStart w:id="7" w:name="_Toc28554"/>
      <w:r>
        <w:rPr>
          <w:rFonts w:hint="eastAsia" w:ascii="楷体" w:hAnsi="楷体" w:eastAsia="楷体" w:cs="楷体"/>
          <w:b w:val="0"/>
          <w:bCs w:val="0"/>
          <w:color w:val="auto"/>
          <w:spacing w:val="0"/>
          <w:sz w:val="32"/>
          <w:szCs w:val="32"/>
          <w:lang w:eastAsia="zh-CN"/>
        </w:rPr>
        <w:t>（一）救助信息来源</w:t>
      </w:r>
      <w:bookmarkEnd w:id="7"/>
    </w:p>
    <w:p w14:paraId="06372A66">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1.市气象、水务、自然资源和规划、林草、农业农村等部门发布的自然灾害预警信息。</w:t>
      </w:r>
    </w:p>
    <w:p w14:paraId="0D623817">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2.区安全生产和防灾减灾救灾委员会成员单位、应急管理局及其他相关部门接收到的自然灾害信息报告。</w:t>
      </w:r>
    </w:p>
    <w:p w14:paraId="0C0E8434">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3.上级应急管理部门下达的自然灾害预警信息。</w:t>
      </w:r>
    </w:p>
    <w:p w14:paraId="23F27B0F">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4.自然灾害发生后，知情单位或个人报告的信息。</w:t>
      </w:r>
    </w:p>
    <w:p w14:paraId="2867C2D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楷体" w:hAnsi="楷体" w:eastAsia="楷体" w:cs="楷体"/>
          <w:b/>
          <w:bCs/>
          <w:color w:val="auto"/>
          <w:spacing w:val="0"/>
          <w:sz w:val="32"/>
          <w:szCs w:val="32"/>
          <w:lang w:eastAsia="zh-CN"/>
        </w:rPr>
      </w:pPr>
      <w:bookmarkStart w:id="8" w:name="_Toc7254"/>
      <w:r>
        <w:rPr>
          <w:rFonts w:hint="eastAsia" w:ascii="楷体" w:hAnsi="楷体" w:eastAsia="楷体" w:cs="楷体"/>
          <w:b w:val="0"/>
          <w:bCs w:val="0"/>
          <w:color w:val="auto"/>
          <w:spacing w:val="0"/>
          <w:sz w:val="32"/>
          <w:szCs w:val="32"/>
          <w:lang w:eastAsia="zh-CN"/>
        </w:rPr>
        <w:t>（二）灾害救助准备措施</w:t>
      </w:r>
      <w:bookmarkEnd w:id="8"/>
    </w:p>
    <w:p w14:paraId="2FA9B9F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区应急局根据自然灾害预警预报信息，结合可能受影响地区的自然条件、人口和社会经济状况，对可能出现的灾情进行预评估，当可能威胁人民生命财产安全、影响基本生活、需要提前采取应对措施时，视情况采取以下一项或多项救助准备措施：</w:t>
      </w:r>
    </w:p>
    <w:p w14:paraId="1D513EF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1.向可能受影响的街道办事处、村屯等政府部门通报预警信息，提出灾害救助准备工作要求。</w:t>
      </w:r>
    </w:p>
    <w:p w14:paraId="50E9163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2.加强应急值守，密切跟踪灾害风险变化和发展趋势，对灾害可能造成的损失进行动态评估，及时调整相关措施。</w:t>
      </w:r>
    </w:p>
    <w:p w14:paraId="19072F2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3.通知救灾物资储备库做好救灾物资准备，做好交通运输准备，在紧急情况下提前调拨。</w:t>
      </w:r>
    </w:p>
    <w:p w14:paraId="43A9A55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4.派出工作组实地了解灾害风险，检查指导各项救灾准备工作。</w:t>
      </w:r>
    </w:p>
    <w:p w14:paraId="5E38EC3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5.向区委、区政府报告预警及灾害救助准备工作情况，并通知区安全生产和防灾减灾救灾委员会成员单位，做好灾害救助资金、灾害救助队伍的准备。</w:t>
      </w:r>
    </w:p>
    <w:p w14:paraId="48CA221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6.向社会发布预警信息。</w:t>
      </w:r>
    </w:p>
    <w:p w14:paraId="0D8AA3B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bookmarkStart w:id="9" w:name="_Toc8683"/>
      <w:r>
        <w:rPr>
          <w:rFonts w:hint="eastAsia" w:ascii="黑体" w:hAnsi="黑体" w:eastAsia="黑体" w:cs="黑体"/>
          <w:color w:val="auto"/>
          <w:spacing w:val="0"/>
          <w:sz w:val="32"/>
          <w:szCs w:val="32"/>
          <w:lang w:eastAsia="zh-CN"/>
        </w:rPr>
        <w:t>四、信息报告</w:t>
      </w:r>
      <w:bookmarkEnd w:id="9"/>
    </w:p>
    <w:p w14:paraId="1AB7C21B">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自然灾害发生后，区应急局应按照国家《自然灾害情况统计调查制度》和《特别重大自然灾害损失统计调查制度》，组织各街道办事处、村屯及政府其他部门做好灾情信息收集、汇总、分析、上报工作，做到部门间信息共享。</w:t>
      </w:r>
    </w:p>
    <w:p w14:paraId="169E4DB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楷体" w:hAnsi="楷体" w:eastAsia="楷体" w:cs="楷体"/>
          <w:b w:val="0"/>
          <w:bCs w:val="0"/>
          <w:color w:val="auto"/>
          <w:spacing w:val="0"/>
          <w:sz w:val="32"/>
          <w:szCs w:val="32"/>
          <w:lang w:eastAsia="zh-CN"/>
        </w:rPr>
      </w:pPr>
      <w:bookmarkStart w:id="10" w:name="_Toc29811"/>
      <w:r>
        <w:rPr>
          <w:rFonts w:hint="eastAsia" w:ascii="楷体" w:hAnsi="楷体" w:eastAsia="楷体" w:cs="楷体"/>
          <w:b w:val="0"/>
          <w:bCs w:val="0"/>
          <w:color w:val="auto"/>
          <w:spacing w:val="0"/>
          <w:sz w:val="32"/>
          <w:szCs w:val="32"/>
          <w:lang w:eastAsia="zh-CN"/>
        </w:rPr>
        <w:t>（一）信息报告</w:t>
      </w:r>
      <w:bookmarkEnd w:id="10"/>
    </w:p>
    <w:p w14:paraId="521933E2">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1.街道办事处、村屯及</w:t>
      </w:r>
      <w:r>
        <w:rPr>
          <w:rFonts w:hint="eastAsia" w:ascii="仿宋" w:hAnsi="仿宋" w:eastAsia="仿宋" w:cs="仿宋"/>
          <w:color w:val="auto"/>
          <w:spacing w:val="0"/>
          <w:sz w:val="32"/>
          <w:szCs w:val="32"/>
          <w:highlight w:val="none"/>
          <w:lang w:eastAsia="zh-CN"/>
        </w:rPr>
        <w:t>区</w:t>
      </w:r>
      <w:r>
        <w:rPr>
          <w:rFonts w:hint="eastAsia" w:ascii="仿宋" w:hAnsi="仿宋" w:eastAsia="仿宋" w:cs="仿宋"/>
          <w:color w:val="auto"/>
          <w:spacing w:val="0"/>
          <w:sz w:val="32"/>
          <w:szCs w:val="32"/>
          <w:highlight w:val="none"/>
          <w:lang w:val="en-US" w:eastAsia="zh-CN"/>
        </w:rPr>
        <w:t>行业</w:t>
      </w:r>
      <w:r>
        <w:rPr>
          <w:rFonts w:hint="eastAsia" w:ascii="仿宋" w:hAnsi="仿宋" w:eastAsia="仿宋" w:cs="仿宋"/>
          <w:color w:val="auto"/>
          <w:spacing w:val="0"/>
          <w:sz w:val="32"/>
          <w:szCs w:val="32"/>
          <w:highlight w:val="none"/>
          <w:lang w:eastAsia="zh-CN"/>
        </w:rPr>
        <w:t>主管部门</w:t>
      </w:r>
      <w:r>
        <w:rPr>
          <w:rFonts w:hint="eastAsia" w:ascii="仿宋" w:hAnsi="仿宋" w:eastAsia="仿宋" w:cs="仿宋"/>
          <w:color w:val="auto"/>
          <w:spacing w:val="0"/>
          <w:sz w:val="32"/>
          <w:szCs w:val="32"/>
          <w:lang w:eastAsia="zh-CN"/>
        </w:rPr>
        <w:t>按职责收集和提供自然灾害信息、损失情况等，在自然灾害发生1小时内向区政府和区应急局报告。</w:t>
      </w:r>
    </w:p>
    <w:p w14:paraId="2BE85858">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2.区应急局在接到报告1小时内向区委、区政府、市应急管理局报告。</w:t>
      </w:r>
    </w:p>
    <w:p w14:paraId="0B91E962">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对于造成10人及以上死亡（含失踪）或社会高度关注、群众反映强烈、房屋大量倒塌、农田大面积受灾等严重损失的突发性自然灾害，区应急局应在灾害发生后立即上报区委、区政府、市级和省级应急管理部门。</w:t>
      </w:r>
    </w:p>
    <w:p w14:paraId="77B31E07">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在重大、较大自然灾害稳定前，各街道办事处、村屯做好灾害损失情况统计，每24小时向区应急局报告。区应急局汇总后上报区委、区政府、市应急局。灾情发生重大变化的，区应急局立即向区委、区政府报告。灾害稳定后，区应急局应在4日内审核、汇总灾情数据并向市应急局报告。</w:t>
      </w:r>
    </w:p>
    <w:p w14:paraId="2D93F30C">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5.对于干旱灾害，各街道办事处、村屯应在旱情初显、群众生产和生活受到一定影响时初报灾情，区应急局汇总后上报市应急局；旱情发展过程中，每10日续报一次灾情，直至灾情解除；灾情解除后及时核报。</w:t>
      </w:r>
    </w:p>
    <w:p w14:paraId="1FDFDA9E">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6.自然灾害救助执行灾情会商制度，区安全生产和防灾减灾救灾委员会或区应急局定期或不定期组织相关部门召开灾情会商会，全面、客观评估、核定灾情数据。</w:t>
      </w:r>
    </w:p>
    <w:p w14:paraId="69D2AF45">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7.灾情信息报告及统计内容：</w:t>
      </w:r>
    </w:p>
    <w:p w14:paraId="529ADC08">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灾情信息报告包括但不限于：灾情发生的时间、地点、背景、范围、程度、灾害后果（包括人员受灾情况；人员伤亡数量；农作物受灾情况；房屋倒塌、损坏情况及直接经济损失等）、已采取的救灾措施和灾区的需求。</w:t>
      </w:r>
    </w:p>
    <w:p w14:paraId="19F80350">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灾害损失情况包括但不限于：受灾人口、因灾死亡人口、因灾失踪人口、因灾伤病人口、紧急转移安置人口、饮水困难人口；农作物受灾面积、绝收面积、毁坏耕地面积；倒塌房屋、损坏房屋直接经济损失；农业直接经济损失。</w:t>
      </w:r>
    </w:p>
    <w:p w14:paraId="5AA3D6D3">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需要救济情况包括但不限于：需救济人口、需救济粮食数量，需救济款人口、需救济衣被、需恢复住房数量（户数及间数）等。</w:t>
      </w:r>
    </w:p>
    <w:p w14:paraId="5A75306C">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已救济情况包括但不限于：上述需救济情况已经解决的数量。包括投奔亲友的受灾人员数量、已搭建帐篷数量等。</w:t>
      </w:r>
    </w:p>
    <w:p w14:paraId="5CCF7BE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11" w:name="_Toc32114"/>
      <w:r>
        <w:rPr>
          <w:rFonts w:hint="eastAsia" w:ascii="楷体" w:hAnsi="楷体" w:eastAsia="楷体" w:cs="楷体"/>
          <w:b w:val="0"/>
          <w:bCs w:val="0"/>
          <w:color w:val="auto"/>
          <w:spacing w:val="0"/>
          <w:sz w:val="32"/>
          <w:szCs w:val="32"/>
          <w:lang w:eastAsia="zh-CN"/>
        </w:rPr>
        <w:t>（二）信息发布</w:t>
      </w:r>
      <w:bookmarkEnd w:id="11"/>
    </w:p>
    <w:p w14:paraId="1ED1DAAA">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信息发布由区委、区政府负责人组织。坚持实事求是、及时准确、公开透明原则。发布形式包括授权发布、组织新闻报道、接受记者采访、新闻发布会等。主动通过应急广播、重点新闻网站或政府网站、政务微博、政务微信、政务客户端等发布信息。区委宣传部等相关单位应积极配合预警、灾情等应急信息发布工作。</w:t>
      </w:r>
    </w:p>
    <w:p w14:paraId="73BE5BA2">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灾情稳定前，区应急局应当及时将自然灾害造成的人员伤亡、财产损失以及自然灾害救助工作动态、成效、下一步安排等情况报告区委、区政府，以便及时发布滚动信息；灾情稳定后，区应急局应当及时评估、核定并按有关规定发布自然灾害损失情况。关于灾情核定和发布工作，法律法规另有规定的，从其规定。</w:t>
      </w:r>
    </w:p>
    <w:p w14:paraId="68CE58A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bookmarkStart w:id="12" w:name="_Toc8541"/>
      <w:r>
        <w:rPr>
          <w:rFonts w:hint="eastAsia" w:ascii="黑体" w:hAnsi="黑体" w:eastAsia="黑体" w:cs="黑体"/>
          <w:color w:val="auto"/>
          <w:spacing w:val="0"/>
          <w:sz w:val="32"/>
          <w:szCs w:val="32"/>
          <w:lang w:eastAsia="zh-CN"/>
        </w:rPr>
        <w:t>五、应急处置措施</w:t>
      </w:r>
      <w:bookmarkEnd w:id="12"/>
    </w:p>
    <w:p w14:paraId="4F2CC461">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根据自然灾害可能造成的危害程度等因素，自然灾害救助应急响应由低到高</w:t>
      </w:r>
      <w:r>
        <w:rPr>
          <w:rFonts w:hint="eastAsia" w:ascii="仿宋" w:hAnsi="仿宋" w:eastAsia="仿宋" w:cs="仿宋"/>
          <w:color w:val="auto"/>
          <w:spacing w:val="0"/>
          <w:sz w:val="32"/>
          <w:szCs w:val="32"/>
          <w:lang w:eastAsia="zh-CN"/>
        </w:rPr>
        <w:t>分为Ⅳ、Ⅲ、Ⅱ、Ⅰ四级。</w:t>
      </w:r>
    </w:p>
    <w:p w14:paraId="6282741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13" w:name="_Toc32485"/>
      <w:r>
        <w:rPr>
          <w:rFonts w:hint="eastAsia" w:ascii="楷体" w:hAnsi="楷体" w:eastAsia="楷体" w:cs="楷体"/>
          <w:b w:val="0"/>
          <w:bCs w:val="0"/>
          <w:color w:val="auto"/>
          <w:spacing w:val="0"/>
          <w:sz w:val="32"/>
          <w:szCs w:val="32"/>
          <w:lang w:eastAsia="zh-CN"/>
        </w:rPr>
        <w:t>（一）Ⅳ级响应</w:t>
      </w:r>
      <w:bookmarkEnd w:id="13"/>
    </w:p>
    <w:p w14:paraId="41AD454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1.启动条件</w:t>
      </w:r>
    </w:p>
    <w:p w14:paraId="2F481009">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全区范围内发生</w:t>
      </w:r>
      <w:r>
        <w:rPr>
          <w:rFonts w:hint="eastAsia" w:ascii="仿宋" w:hAnsi="仿宋" w:eastAsia="仿宋" w:cs="仿宋"/>
          <w:color w:val="auto"/>
          <w:spacing w:val="0"/>
          <w:sz w:val="32"/>
          <w:szCs w:val="32"/>
          <w:highlight w:val="none"/>
          <w:lang w:eastAsia="zh-CN"/>
        </w:rPr>
        <w:t>较轻</w:t>
      </w:r>
      <w:r>
        <w:rPr>
          <w:rFonts w:hint="eastAsia" w:ascii="仿宋" w:hAnsi="仿宋" w:eastAsia="仿宋" w:cs="仿宋"/>
          <w:color w:val="auto"/>
          <w:spacing w:val="0"/>
          <w:sz w:val="32"/>
          <w:szCs w:val="32"/>
          <w:lang w:eastAsia="zh-CN"/>
        </w:rPr>
        <w:t>自然灾害，一次灾害过程出现以下情况之一的，启动Ⅳ级响应：</w:t>
      </w:r>
    </w:p>
    <w:p w14:paraId="7A9BEF2D">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1</w:t>
      </w:r>
      <w:r>
        <w:rPr>
          <w:rFonts w:hint="eastAsia" w:ascii="仿宋" w:hAnsi="仿宋" w:eastAsia="仿宋" w:cs="仿宋"/>
          <w:color w:val="auto"/>
          <w:spacing w:val="0"/>
          <w:sz w:val="32"/>
          <w:szCs w:val="32"/>
          <w:lang w:eastAsia="zh-CN"/>
        </w:rPr>
        <w:t>）死亡、失踪1人；</w:t>
      </w:r>
    </w:p>
    <w:p w14:paraId="4B337D3E">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2</w:t>
      </w:r>
      <w:r>
        <w:rPr>
          <w:rFonts w:hint="eastAsia" w:ascii="仿宋" w:hAnsi="仿宋" w:eastAsia="仿宋" w:cs="仿宋"/>
          <w:color w:val="auto"/>
          <w:spacing w:val="0"/>
          <w:sz w:val="32"/>
          <w:szCs w:val="32"/>
          <w:lang w:eastAsia="zh-CN"/>
        </w:rPr>
        <w:t>）紧急转移安置或需紧急生活救助0.1万人以上、0.3万人以下；</w:t>
      </w:r>
    </w:p>
    <w:p w14:paraId="1158A2F2">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3</w:t>
      </w:r>
      <w:r>
        <w:rPr>
          <w:rFonts w:hint="eastAsia" w:ascii="仿宋" w:hAnsi="仿宋" w:eastAsia="仿宋" w:cs="仿宋"/>
          <w:color w:val="auto"/>
          <w:spacing w:val="0"/>
          <w:sz w:val="32"/>
          <w:szCs w:val="32"/>
          <w:lang w:eastAsia="zh-CN"/>
        </w:rPr>
        <w:t>）倒塌和严重损坏房屋100间或50户以上、300间或100户以下；</w:t>
      </w:r>
    </w:p>
    <w:p w14:paraId="106FD537">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4</w:t>
      </w:r>
      <w:r>
        <w:rPr>
          <w:rFonts w:hint="eastAsia" w:ascii="仿宋" w:hAnsi="仿宋" w:eastAsia="仿宋" w:cs="仿宋"/>
          <w:color w:val="auto"/>
          <w:spacing w:val="0"/>
          <w:sz w:val="32"/>
          <w:szCs w:val="32"/>
          <w:lang w:eastAsia="zh-CN"/>
        </w:rPr>
        <w:t>）干旱灾害造成缺粮或缺水等生活困难，需政府救助人数占受灾区域农牧业人口2%以上、5%以下，或0.5万人以上、5万人以下。</w:t>
      </w:r>
    </w:p>
    <w:p w14:paraId="2D535468">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5</w:t>
      </w:r>
      <w:r>
        <w:rPr>
          <w:rFonts w:hint="eastAsia" w:ascii="仿宋" w:hAnsi="仿宋" w:eastAsia="仿宋" w:cs="仿宋"/>
          <w:color w:val="auto"/>
          <w:spacing w:val="0"/>
          <w:sz w:val="32"/>
          <w:szCs w:val="32"/>
          <w:lang w:eastAsia="zh-CN"/>
        </w:rPr>
        <w:t>）灾害造成群众生产生活资料遭受损失、短期内失去收入来源、引起社会关注；</w:t>
      </w:r>
    </w:p>
    <w:p w14:paraId="50F6E2EE">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6</w:t>
      </w:r>
      <w:r>
        <w:rPr>
          <w:rFonts w:hint="eastAsia" w:ascii="仿宋" w:hAnsi="仿宋" w:eastAsia="仿宋" w:cs="仿宋"/>
          <w:color w:val="auto"/>
          <w:spacing w:val="0"/>
          <w:sz w:val="32"/>
          <w:szCs w:val="32"/>
          <w:lang w:eastAsia="zh-CN"/>
        </w:rPr>
        <w:t>）其他符合启动条件的情形。</w:t>
      </w:r>
    </w:p>
    <w:p w14:paraId="71926CE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2.启动程序</w:t>
      </w:r>
    </w:p>
    <w:p w14:paraId="1968653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灾害发生后，区应急局经分析评估，认定灾情达到启动标准，区应急局决定启动Ⅳ级响应。区应急局下发启动响应的通知，并报区安全生产和防灾减灾救灾委员会副主任，同时报区委、区政府、市应急局。</w:t>
      </w:r>
    </w:p>
    <w:p w14:paraId="550072C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3.响应措施</w:t>
      </w:r>
    </w:p>
    <w:p w14:paraId="0D3F4CA7">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区应急局组织协调自然灾害救助工作，指导受灾地区自然灾害救助工作，视情采取以下措施：</w:t>
      </w:r>
    </w:p>
    <w:p w14:paraId="506C63C8">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1</w:t>
      </w:r>
      <w:r>
        <w:rPr>
          <w:rFonts w:hint="eastAsia" w:ascii="仿宋" w:hAnsi="仿宋" w:eastAsia="仿宋" w:cs="仿宋"/>
          <w:color w:val="auto"/>
          <w:spacing w:val="0"/>
          <w:sz w:val="32"/>
          <w:szCs w:val="32"/>
          <w:lang w:eastAsia="zh-CN"/>
        </w:rPr>
        <w:t>）区应急局视情组织有关部门和单位召开会商会，分析灾区形势，研究落实对灾区的救灾措施。</w:t>
      </w:r>
    </w:p>
    <w:p w14:paraId="693CC393">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2</w:t>
      </w:r>
      <w:r>
        <w:rPr>
          <w:rFonts w:hint="eastAsia" w:ascii="仿宋" w:hAnsi="仿宋" w:eastAsia="仿宋" w:cs="仿宋"/>
          <w:color w:val="auto"/>
          <w:spacing w:val="0"/>
          <w:sz w:val="32"/>
          <w:szCs w:val="32"/>
          <w:lang w:eastAsia="zh-CN"/>
        </w:rPr>
        <w:t>）区应急局派出工作组赴灾区慰问受灾群众，核查灾情，协助指导街道办事处、村屯开展救灾工作。</w:t>
      </w:r>
    </w:p>
    <w:p w14:paraId="5B27C906">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3</w:t>
      </w:r>
      <w:r>
        <w:rPr>
          <w:rFonts w:hint="eastAsia" w:ascii="仿宋" w:hAnsi="仿宋" w:eastAsia="仿宋" w:cs="仿宋"/>
          <w:color w:val="auto"/>
          <w:spacing w:val="0"/>
          <w:sz w:val="32"/>
          <w:szCs w:val="32"/>
          <w:lang w:eastAsia="zh-CN"/>
        </w:rPr>
        <w:t>）区应急局及时掌握并按照有关规定统一发布灾情和救灾工作动态信息。</w:t>
      </w:r>
    </w:p>
    <w:p w14:paraId="2057D73B">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4</w:t>
      </w:r>
      <w:r>
        <w:rPr>
          <w:rFonts w:hint="eastAsia" w:ascii="仿宋" w:hAnsi="仿宋" w:eastAsia="仿宋" w:cs="仿宋"/>
          <w:color w:val="auto"/>
          <w:spacing w:val="0"/>
          <w:sz w:val="32"/>
          <w:szCs w:val="32"/>
          <w:lang w:eastAsia="zh-CN"/>
        </w:rPr>
        <w:t>）根据受灾街道办事处、村屯申请和有关部门对灾情的核定情况，经区政府批准，区财政局、区应急局及时下拨自然灾害生活补助资金。区应急局紧急调拨生活类救灾物资，指导、监督基层救灾应急措施落实和救灾款物发放。</w:t>
      </w:r>
    </w:p>
    <w:p w14:paraId="64E8A30F">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5</w:t>
      </w:r>
      <w:r>
        <w:rPr>
          <w:rFonts w:hint="eastAsia" w:ascii="仿宋" w:hAnsi="仿宋" w:eastAsia="仿宋" w:cs="仿宋"/>
          <w:color w:val="auto"/>
          <w:spacing w:val="0"/>
          <w:sz w:val="32"/>
          <w:szCs w:val="32"/>
          <w:lang w:eastAsia="zh-CN"/>
        </w:rPr>
        <w:t>）区专业救援队伍参加救灾，组织志愿者队伍，必要时协助区安全生产和防灾减灾救灾委员会办公室运送、发放救灾物资。</w:t>
      </w:r>
    </w:p>
    <w:p w14:paraId="4BC4723B">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6</w:t>
      </w:r>
      <w:r>
        <w:rPr>
          <w:rFonts w:hint="eastAsia" w:ascii="仿宋" w:hAnsi="仿宋" w:eastAsia="仿宋" w:cs="仿宋"/>
          <w:color w:val="auto"/>
          <w:spacing w:val="0"/>
          <w:sz w:val="32"/>
          <w:szCs w:val="32"/>
          <w:lang w:eastAsia="zh-CN"/>
        </w:rPr>
        <w:t>）区卫健局指导、参与受灾街道办事处、村屯基层医疗机构做好医疗救治、灾后防疫和心理援助等卫生应急工作。</w:t>
      </w:r>
    </w:p>
    <w:p w14:paraId="4A5F1DF8">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7</w:t>
      </w:r>
      <w:r>
        <w:rPr>
          <w:rFonts w:hint="eastAsia" w:ascii="仿宋" w:hAnsi="仿宋" w:eastAsia="仿宋" w:cs="仿宋"/>
          <w:color w:val="auto"/>
          <w:spacing w:val="0"/>
          <w:sz w:val="32"/>
          <w:szCs w:val="32"/>
          <w:lang w:eastAsia="zh-CN"/>
        </w:rPr>
        <w:t>）灾情稳定后，区应急局指导各街道办事处、村屯做好灾害损失评估、核定工作。</w:t>
      </w:r>
    </w:p>
    <w:p w14:paraId="3E0D9972">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8</w:t>
      </w:r>
      <w:r>
        <w:rPr>
          <w:rFonts w:hint="eastAsia" w:ascii="仿宋" w:hAnsi="仿宋" w:eastAsia="仿宋" w:cs="仿宋"/>
          <w:color w:val="auto"/>
          <w:spacing w:val="0"/>
          <w:sz w:val="32"/>
          <w:szCs w:val="32"/>
          <w:lang w:eastAsia="zh-CN"/>
        </w:rPr>
        <w:t>）区安全生产和防灾减灾救灾委员会其他成员单位按照职责分工，做好有关工作。</w:t>
      </w:r>
    </w:p>
    <w:p w14:paraId="0EC7EAD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14" w:name="_Toc22721"/>
      <w:r>
        <w:rPr>
          <w:rFonts w:hint="eastAsia" w:ascii="楷体" w:hAnsi="楷体" w:eastAsia="楷体" w:cs="楷体"/>
          <w:b w:val="0"/>
          <w:bCs w:val="0"/>
          <w:color w:val="auto"/>
          <w:spacing w:val="0"/>
          <w:sz w:val="32"/>
          <w:szCs w:val="32"/>
          <w:lang w:eastAsia="zh-CN"/>
        </w:rPr>
        <w:t>（二）Ⅲ级响应</w:t>
      </w:r>
      <w:bookmarkEnd w:id="14"/>
    </w:p>
    <w:p w14:paraId="1A347C3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1.启动条件</w:t>
      </w:r>
    </w:p>
    <w:p w14:paraId="5EEAC74E">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全区范围内发生</w:t>
      </w:r>
      <w:r>
        <w:rPr>
          <w:rFonts w:hint="eastAsia" w:ascii="仿宋" w:hAnsi="仿宋" w:eastAsia="仿宋" w:cs="仿宋"/>
          <w:color w:val="auto"/>
          <w:spacing w:val="0"/>
          <w:sz w:val="32"/>
          <w:szCs w:val="32"/>
          <w:highlight w:val="none"/>
          <w:lang w:eastAsia="zh-CN"/>
        </w:rPr>
        <w:t>一般</w:t>
      </w:r>
      <w:r>
        <w:rPr>
          <w:rFonts w:hint="eastAsia" w:ascii="仿宋" w:hAnsi="仿宋" w:eastAsia="仿宋" w:cs="仿宋"/>
          <w:color w:val="auto"/>
          <w:spacing w:val="0"/>
          <w:sz w:val="32"/>
          <w:szCs w:val="32"/>
          <w:lang w:eastAsia="zh-CN"/>
        </w:rPr>
        <w:t>自然灾害，一次灾害过程出现以下情况之一的，启动Ⅲ级响应：</w:t>
      </w:r>
    </w:p>
    <w:p w14:paraId="64295880">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1</w:t>
      </w:r>
      <w:r>
        <w:rPr>
          <w:rFonts w:hint="eastAsia" w:ascii="仿宋" w:hAnsi="仿宋" w:eastAsia="仿宋" w:cs="仿宋"/>
          <w:color w:val="auto"/>
          <w:spacing w:val="0"/>
          <w:sz w:val="32"/>
          <w:szCs w:val="32"/>
          <w:lang w:eastAsia="zh-CN"/>
        </w:rPr>
        <w:t>）死亡、失踪1人以上、3人以下；</w:t>
      </w:r>
    </w:p>
    <w:p w14:paraId="71169559">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2</w:t>
      </w:r>
      <w:r>
        <w:rPr>
          <w:rFonts w:hint="eastAsia" w:ascii="仿宋" w:hAnsi="仿宋" w:eastAsia="仿宋" w:cs="仿宋"/>
          <w:color w:val="auto"/>
          <w:spacing w:val="0"/>
          <w:sz w:val="32"/>
          <w:szCs w:val="32"/>
          <w:lang w:eastAsia="zh-CN"/>
        </w:rPr>
        <w:t>）紧急转移安置或需紧急生活救助0.3万人以上、0.5万人以下；</w:t>
      </w:r>
    </w:p>
    <w:p w14:paraId="662BBD3B">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3</w:t>
      </w:r>
      <w:r>
        <w:rPr>
          <w:rFonts w:hint="eastAsia" w:ascii="仿宋" w:hAnsi="仿宋" w:eastAsia="仿宋" w:cs="仿宋"/>
          <w:color w:val="auto"/>
          <w:spacing w:val="0"/>
          <w:sz w:val="32"/>
          <w:szCs w:val="32"/>
          <w:lang w:eastAsia="zh-CN"/>
        </w:rPr>
        <w:t>）倒塌和严重损坏房屋300间或100户以上、500间或200户以下；</w:t>
      </w:r>
    </w:p>
    <w:p w14:paraId="23F73244">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4</w:t>
      </w:r>
      <w:r>
        <w:rPr>
          <w:rFonts w:hint="eastAsia" w:ascii="仿宋" w:hAnsi="仿宋" w:eastAsia="仿宋" w:cs="仿宋"/>
          <w:color w:val="auto"/>
          <w:spacing w:val="0"/>
          <w:sz w:val="32"/>
          <w:szCs w:val="32"/>
          <w:lang w:eastAsia="zh-CN"/>
        </w:rPr>
        <w:t>）干旱灾害造成缺粮或缺水等生活困难，需政府救助人数占受灾区域农牧业人口5%以上、10%以下，或5万人以上、6万人以下；</w:t>
      </w:r>
    </w:p>
    <w:p w14:paraId="05BE963C">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5</w:t>
      </w:r>
      <w:r>
        <w:rPr>
          <w:rFonts w:hint="eastAsia" w:ascii="仿宋" w:hAnsi="仿宋" w:eastAsia="仿宋" w:cs="仿宋"/>
          <w:color w:val="auto"/>
          <w:spacing w:val="0"/>
          <w:sz w:val="32"/>
          <w:szCs w:val="32"/>
          <w:lang w:eastAsia="zh-CN"/>
        </w:rPr>
        <w:t>）灾害造成群众生产生活资料遭受较大损失、短期内失去收入来源、引起社会关注；</w:t>
      </w:r>
    </w:p>
    <w:p w14:paraId="5A57B7BC">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6</w:t>
      </w:r>
      <w:r>
        <w:rPr>
          <w:rFonts w:hint="eastAsia" w:ascii="仿宋" w:hAnsi="仿宋" w:eastAsia="仿宋" w:cs="仿宋"/>
          <w:color w:val="auto"/>
          <w:spacing w:val="0"/>
          <w:sz w:val="32"/>
          <w:szCs w:val="32"/>
          <w:lang w:eastAsia="zh-CN"/>
        </w:rPr>
        <w:t>）其他符合启动条件的情形。</w:t>
      </w:r>
    </w:p>
    <w:p w14:paraId="1F372EC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2.启动程序</w:t>
      </w:r>
    </w:p>
    <w:p w14:paraId="44008ED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灾害发生后，区应急局经分析评估，认定灾情达到Ⅲ级响应启动标准，向区安全生产和防灾减灾救灾委员会提出启动建议，经区安全生产和防灾减灾救灾委员会副主任批准启动Ⅲ级响应。区应急局下发启动响应的通知，同时报区委、区政府以及市应急局。</w:t>
      </w:r>
    </w:p>
    <w:p w14:paraId="06E9B2E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3.响应措施</w:t>
      </w:r>
    </w:p>
    <w:p w14:paraId="611B1D24">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区安全生产和防灾减灾救灾委员会办公室组织协调自然灾害救助工作，指导支持受灾街道、村屯等部门自然灾害救助工作。在Ⅳ级响应措施的基础上，区安全生产和防灾减灾救灾委员会及其成员单位采取以下措施：</w:t>
      </w:r>
    </w:p>
    <w:p w14:paraId="402DB724">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1</w:t>
      </w:r>
      <w:r>
        <w:rPr>
          <w:rFonts w:hint="eastAsia" w:ascii="仿宋" w:hAnsi="仿宋" w:eastAsia="仿宋" w:cs="仿宋"/>
          <w:color w:val="auto"/>
          <w:spacing w:val="0"/>
          <w:sz w:val="32"/>
          <w:szCs w:val="32"/>
          <w:lang w:eastAsia="zh-CN"/>
        </w:rPr>
        <w:t>）区应急局及时组织有关部门及受灾街道办事处、村屯等召开会商会议，分析灾区形势，研究落实对灾区的救灾支持措施。</w:t>
      </w:r>
    </w:p>
    <w:p w14:paraId="23B0C04B">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2</w:t>
      </w:r>
      <w:r>
        <w:rPr>
          <w:rFonts w:hint="eastAsia" w:ascii="仿宋" w:hAnsi="仿宋" w:eastAsia="仿宋" w:cs="仿宋"/>
          <w:color w:val="auto"/>
          <w:spacing w:val="0"/>
          <w:sz w:val="32"/>
          <w:szCs w:val="32"/>
          <w:lang w:eastAsia="zh-CN"/>
        </w:rPr>
        <w:t>）派出由区应急局负责同志带队、有关部门参加的联合工作组赴灾区慰问受灾群众，核查灾情，协助指导街道办事处、村屯开展救灾工作。</w:t>
      </w:r>
    </w:p>
    <w:p w14:paraId="466AAE13">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3</w:t>
      </w:r>
      <w:r>
        <w:rPr>
          <w:rFonts w:hint="eastAsia" w:ascii="仿宋" w:hAnsi="仿宋" w:eastAsia="仿宋" w:cs="仿宋"/>
          <w:color w:val="auto"/>
          <w:spacing w:val="0"/>
          <w:sz w:val="32"/>
          <w:szCs w:val="32"/>
          <w:lang w:eastAsia="zh-CN"/>
        </w:rPr>
        <w:t>）组织区专业、非专业救援队伍参加救灾。</w:t>
      </w:r>
    </w:p>
    <w:p w14:paraId="45469CC6">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4</w:t>
      </w:r>
      <w:r>
        <w:rPr>
          <w:rFonts w:hint="eastAsia" w:ascii="仿宋" w:hAnsi="仿宋" w:eastAsia="仿宋" w:cs="仿宋"/>
          <w:color w:val="auto"/>
          <w:spacing w:val="0"/>
          <w:sz w:val="32"/>
          <w:szCs w:val="32"/>
          <w:lang w:eastAsia="zh-CN"/>
        </w:rPr>
        <w:t>）区卫健局根据需要，及时组织医疗卫生队伍赴灾区协助开展医疗救治、灾后防疫和心理援助等卫生应急工作。</w:t>
      </w:r>
    </w:p>
    <w:p w14:paraId="3015A1AE">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5</w:t>
      </w:r>
      <w:r>
        <w:rPr>
          <w:rFonts w:hint="eastAsia" w:ascii="仿宋" w:hAnsi="仿宋" w:eastAsia="仿宋" w:cs="仿宋"/>
          <w:color w:val="auto"/>
          <w:spacing w:val="0"/>
          <w:sz w:val="32"/>
          <w:szCs w:val="32"/>
          <w:lang w:eastAsia="zh-CN"/>
        </w:rPr>
        <w:t>）区应急局、区民政局引导社会组织、志愿者等社会力量参与灾害救助工作。红十字会依法开展救援、救灾的相关工作，开展救灾募捐活动等。</w:t>
      </w:r>
    </w:p>
    <w:p w14:paraId="123A4BA9">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6</w:t>
      </w:r>
      <w:r>
        <w:rPr>
          <w:rFonts w:hint="eastAsia" w:ascii="仿宋" w:hAnsi="仿宋" w:eastAsia="仿宋" w:cs="仿宋"/>
          <w:color w:val="auto"/>
          <w:spacing w:val="0"/>
          <w:sz w:val="32"/>
          <w:szCs w:val="32"/>
          <w:lang w:eastAsia="zh-CN"/>
        </w:rPr>
        <w:t>）灾情稳定后，各街道办事处、村屯做好灾害损失评估、核定工作，及时将评估结果报送区应急局。区应急局组织核定并按有关规定统一发布自然灾害损失情况。</w:t>
      </w:r>
    </w:p>
    <w:p w14:paraId="700F25F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15" w:name="_Toc30946"/>
      <w:r>
        <w:rPr>
          <w:rFonts w:hint="eastAsia" w:ascii="楷体" w:hAnsi="楷体" w:eastAsia="楷体" w:cs="楷体"/>
          <w:b w:val="0"/>
          <w:bCs w:val="0"/>
          <w:color w:val="auto"/>
          <w:spacing w:val="0"/>
          <w:sz w:val="32"/>
          <w:szCs w:val="32"/>
          <w:lang w:eastAsia="zh-CN"/>
        </w:rPr>
        <w:t>（三）Ⅱ级响应</w:t>
      </w:r>
      <w:bookmarkEnd w:id="15"/>
    </w:p>
    <w:p w14:paraId="11E14FE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1.启动条件</w:t>
      </w:r>
    </w:p>
    <w:p w14:paraId="520D86E6">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全区范围内发生</w:t>
      </w:r>
      <w:r>
        <w:rPr>
          <w:rFonts w:hint="eastAsia" w:ascii="仿宋" w:hAnsi="仿宋" w:eastAsia="仿宋" w:cs="仿宋"/>
          <w:color w:val="auto"/>
          <w:spacing w:val="0"/>
          <w:sz w:val="32"/>
          <w:szCs w:val="32"/>
          <w:highlight w:val="none"/>
          <w:lang w:eastAsia="zh-CN"/>
        </w:rPr>
        <w:t>较大</w:t>
      </w:r>
      <w:r>
        <w:rPr>
          <w:rFonts w:hint="eastAsia" w:ascii="仿宋" w:hAnsi="仿宋" w:eastAsia="仿宋" w:cs="仿宋"/>
          <w:color w:val="auto"/>
          <w:spacing w:val="0"/>
          <w:sz w:val="32"/>
          <w:szCs w:val="32"/>
          <w:lang w:eastAsia="zh-CN"/>
        </w:rPr>
        <w:t>自然灾害，一次灾害过程出现以下情况之一的，启动Ⅱ级响应：</w:t>
      </w:r>
    </w:p>
    <w:p w14:paraId="67C37F7B">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1</w:t>
      </w:r>
      <w:r>
        <w:rPr>
          <w:rFonts w:hint="eastAsia" w:ascii="仿宋" w:hAnsi="仿宋" w:eastAsia="仿宋" w:cs="仿宋"/>
          <w:color w:val="auto"/>
          <w:spacing w:val="0"/>
          <w:sz w:val="32"/>
          <w:szCs w:val="32"/>
          <w:lang w:eastAsia="zh-CN"/>
        </w:rPr>
        <w:t>）死亡、失踪3人以上、5人以下（“以上”含本数，“以下”不含本数，下同）；</w:t>
      </w:r>
    </w:p>
    <w:p w14:paraId="3D7E1B29">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2</w:t>
      </w:r>
      <w:r>
        <w:rPr>
          <w:rFonts w:hint="eastAsia" w:ascii="仿宋" w:hAnsi="仿宋" w:eastAsia="仿宋" w:cs="仿宋"/>
          <w:color w:val="auto"/>
          <w:spacing w:val="0"/>
          <w:sz w:val="32"/>
          <w:szCs w:val="32"/>
          <w:lang w:eastAsia="zh-CN"/>
        </w:rPr>
        <w:t>）紧急转移安置或需紧急生活救助0.5万人以上1万人以下；</w:t>
      </w:r>
    </w:p>
    <w:p w14:paraId="536E6E6A">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3</w:t>
      </w:r>
      <w:r>
        <w:rPr>
          <w:rFonts w:hint="eastAsia" w:ascii="仿宋" w:hAnsi="仿宋" w:eastAsia="仿宋" w:cs="仿宋"/>
          <w:color w:val="auto"/>
          <w:spacing w:val="0"/>
          <w:sz w:val="32"/>
          <w:szCs w:val="32"/>
          <w:lang w:eastAsia="zh-CN"/>
        </w:rPr>
        <w:t>）倒塌和严重损坏房屋500间或200户以上、1000间或500户以下；</w:t>
      </w:r>
    </w:p>
    <w:p w14:paraId="6905F9C3">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4</w:t>
      </w:r>
      <w:r>
        <w:rPr>
          <w:rFonts w:hint="eastAsia" w:ascii="仿宋" w:hAnsi="仿宋" w:eastAsia="仿宋" w:cs="仿宋"/>
          <w:color w:val="auto"/>
          <w:spacing w:val="0"/>
          <w:sz w:val="32"/>
          <w:szCs w:val="32"/>
          <w:lang w:eastAsia="zh-CN"/>
        </w:rPr>
        <w:t>）干旱灾害造成缺粮或缺水等生活困难，需政府救助人数占受灾区域农牧业人口10%以上、15%以下，或6万人以上、9万人以下；</w:t>
      </w:r>
    </w:p>
    <w:p w14:paraId="59B28592">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5</w:t>
      </w:r>
      <w:r>
        <w:rPr>
          <w:rFonts w:hint="eastAsia" w:ascii="仿宋" w:hAnsi="仿宋" w:eastAsia="仿宋" w:cs="仿宋"/>
          <w:color w:val="auto"/>
          <w:spacing w:val="0"/>
          <w:sz w:val="32"/>
          <w:szCs w:val="32"/>
          <w:lang w:eastAsia="zh-CN"/>
        </w:rPr>
        <w:t>）灾害造成群众生产生活资料遭受较大损失、短期内失去收入来源、社会较大关注；</w:t>
      </w:r>
    </w:p>
    <w:p w14:paraId="2D6B7E6D">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6</w:t>
      </w:r>
      <w:r>
        <w:rPr>
          <w:rFonts w:hint="eastAsia" w:ascii="仿宋" w:hAnsi="仿宋" w:eastAsia="仿宋" w:cs="仿宋"/>
          <w:color w:val="auto"/>
          <w:spacing w:val="0"/>
          <w:sz w:val="32"/>
          <w:szCs w:val="32"/>
          <w:lang w:eastAsia="zh-CN"/>
        </w:rPr>
        <w:t>）其他符合启动条件的情形。</w:t>
      </w:r>
    </w:p>
    <w:p w14:paraId="50DB13C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2.启动程序</w:t>
      </w:r>
    </w:p>
    <w:p w14:paraId="6D524686">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灾害发生后，区应急局经分析评估，认定灾情达到Ⅱ级响应启动标准，向区安全生产和防灾减灾救灾委员会提出启动建议，经区安全生产和防灾减灾救灾委员会副主任批准后，区应急局按程序以区安全生产和防灾减灾救灾委员会名义下发启动响应的通知，并向区委、区政府报告。同时向市安全生产和防灾减灾救灾委员会、市应急局报告，请求启动市级救助应急响应。</w:t>
      </w:r>
    </w:p>
    <w:p w14:paraId="05E7F22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3.响应措施</w:t>
      </w:r>
    </w:p>
    <w:p w14:paraId="29BF4BF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区安全生产和防灾减灾救灾委员会组织区内可以调动的力量开展自然灾害救助工作。在Ⅲ级响应措施的基础上，区安全生产和防灾减灾救灾委员会及其成员单位采取以下措施：</w:t>
      </w:r>
    </w:p>
    <w:p w14:paraId="14E234C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1</w:t>
      </w:r>
      <w:r>
        <w:rPr>
          <w:rFonts w:hint="eastAsia" w:ascii="仿宋" w:hAnsi="仿宋" w:eastAsia="仿宋" w:cs="仿宋"/>
          <w:color w:val="auto"/>
          <w:spacing w:val="0"/>
          <w:sz w:val="32"/>
          <w:szCs w:val="32"/>
          <w:lang w:eastAsia="zh-CN"/>
        </w:rPr>
        <w:t>）区安全生产和防灾减灾救灾委员会副主任或委托区应急局负责同志召开会议主持会商，区安全生产和防灾减灾救灾委员会成员单位、专家委员会及有关受灾街道办事处、村屯负责人参加，分析灾区形势，对支持指导灾区减灾救灾重大事项作出决定。</w:t>
      </w:r>
    </w:p>
    <w:p w14:paraId="52FD8BE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2</w:t>
      </w:r>
      <w:r>
        <w:rPr>
          <w:rFonts w:hint="eastAsia" w:ascii="仿宋" w:hAnsi="仿宋" w:eastAsia="仿宋" w:cs="仿宋"/>
          <w:color w:val="auto"/>
          <w:spacing w:val="0"/>
          <w:sz w:val="32"/>
          <w:szCs w:val="32"/>
          <w:lang w:eastAsia="zh-CN"/>
        </w:rPr>
        <w:t>）区应急局根据灾情发展和区委、区政府的指示，率有关部门组成的先期工作组赴灾区慰问受灾群众，核查灾情、指导救助工作。</w:t>
      </w:r>
    </w:p>
    <w:p w14:paraId="4B9C7EF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3</w:t>
      </w:r>
      <w:r>
        <w:rPr>
          <w:rFonts w:hint="eastAsia" w:ascii="仿宋" w:hAnsi="仿宋" w:eastAsia="仿宋" w:cs="仿宋"/>
          <w:color w:val="auto"/>
          <w:spacing w:val="0"/>
          <w:sz w:val="32"/>
          <w:szCs w:val="32"/>
          <w:lang w:eastAsia="zh-CN"/>
        </w:rPr>
        <w:t>）安全生产和防灾减灾救灾委员会有关成员单位做好灾情、灾区需求及救灾工作动态等信息共享，每日向区应急局通报有关情况。必要时，区安全生产和防灾减灾救灾委员会组织专家对实时灾情、灾情发展趋势、救灾需求进行评估。</w:t>
      </w:r>
    </w:p>
    <w:p w14:paraId="2A16ED8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4</w:t>
      </w:r>
      <w:r>
        <w:rPr>
          <w:rFonts w:hint="eastAsia" w:ascii="仿宋" w:hAnsi="仿宋" w:eastAsia="仿宋" w:cs="仿宋"/>
          <w:color w:val="auto"/>
          <w:spacing w:val="0"/>
          <w:sz w:val="32"/>
          <w:szCs w:val="32"/>
          <w:lang w:eastAsia="zh-CN"/>
        </w:rPr>
        <w:t>）向阳公安分局负责加强灾区社会治安管理，向阳交警大队负责道路交通应急管理，协助灾区群众紧急转移。</w:t>
      </w:r>
    </w:p>
    <w:p w14:paraId="5162879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5</w:t>
      </w:r>
      <w:r>
        <w:rPr>
          <w:rFonts w:hint="eastAsia" w:ascii="仿宋" w:hAnsi="仿宋" w:eastAsia="仿宋" w:cs="仿宋"/>
          <w:color w:val="auto"/>
          <w:spacing w:val="0"/>
          <w:sz w:val="32"/>
          <w:szCs w:val="32"/>
          <w:lang w:eastAsia="zh-CN"/>
        </w:rPr>
        <w:t>）区发改局、区市场局、区商务局等部门保障市场供应和价格稳定。区工信局组织协调移动、电信、联通公司组织基础电信运营企业做好应急通信保障工作，协调救灾装备、防护和消毒杀菌用品、医药等生产供应工作。区住建局指导灾后房屋建筑和市政基础设施工程的安全应急评估等工作。区水务局指导灾区水利工程调度和损毁水利工程应急修复工作。区卫健局及时组织医疗卫生队伍赴灾区协助开展医疗救治、灾后防疫和心理援助等卫生应急工作。向阳生态环境局参与组织因灾害导致的突发环境事件应急处置工作。</w:t>
      </w:r>
    </w:p>
    <w:p w14:paraId="09455AA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6</w:t>
      </w:r>
      <w:r>
        <w:rPr>
          <w:rFonts w:hint="eastAsia" w:ascii="仿宋" w:hAnsi="仿宋" w:eastAsia="仿宋" w:cs="仿宋"/>
          <w:color w:val="auto"/>
          <w:spacing w:val="0"/>
          <w:sz w:val="32"/>
          <w:szCs w:val="32"/>
          <w:lang w:eastAsia="zh-CN"/>
        </w:rPr>
        <w:t>）区所有专业、非专业救援队伍全部参加救灾工作。</w:t>
      </w:r>
    </w:p>
    <w:p w14:paraId="7846FFB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7</w:t>
      </w:r>
      <w:r>
        <w:rPr>
          <w:rFonts w:hint="eastAsia" w:ascii="仿宋" w:hAnsi="仿宋" w:eastAsia="仿宋" w:cs="仿宋"/>
          <w:color w:val="auto"/>
          <w:spacing w:val="0"/>
          <w:sz w:val="32"/>
          <w:szCs w:val="32"/>
          <w:lang w:eastAsia="zh-CN"/>
        </w:rPr>
        <w:t>）区卫健局与市卫健委沟通，申请医疗卫生队伍支援。</w:t>
      </w:r>
    </w:p>
    <w:p w14:paraId="68D6608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8</w:t>
      </w:r>
      <w:r>
        <w:rPr>
          <w:rFonts w:hint="eastAsia" w:ascii="仿宋" w:hAnsi="仿宋" w:eastAsia="仿宋" w:cs="仿宋"/>
          <w:color w:val="auto"/>
          <w:spacing w:val="0"/>
          <w:sz w:val="32"/>
          <w:szCs w:val="32"/>
          <w:lang w:eastAsia="zh-CN"/>
        </w:rPr>
        <w:t>）区委宣传部指导做好新闻宣传和舆论引导等工作。</w:t>
      </w:r>
    </w:p>
    <w:p w14:paraId="2D4FFD4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16" w:name="_Toc30425"/>
      <w:r>
        <w:rPr>
          <w:rFonts w:hint="eastAsia" w:ascii="楷体" w:hAnsi="楷体" w:eastAsia="楷体" w:cs="楷体"/>
          <w:b w:val="0"/>
          <w:bCs w:val="0"/>
          <w:color w:val="auto"/>
          <w:spacing w:val="0"/>
          <w:sz w:val="32"/>
          <w:szCs w:val="32"/>
          <w:lang w:eastAsia="zh-CN"/>
        </w:rPr>
        <w:t>（四）Ⅰ级响应</w:t>
      </w:r>
      <w:bookmarkEnd w:id="16"/>
    </w:p>
    <w:p w14:paraId="2110CE2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1.启动条件</w:t>
      </w:r>
    </w:p>
    <w:p w14:paraId="132C301E">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全区范围内发生</w:t>
      </w:r>
      <w:r>
        <w:rPr>
          <w:rFonts w:hint="eastAsia" w:ascii="仿宋" w:hAnsi="仿宋" w:eastAsia="仿宋" w:cs="仿宋"/>
          <w:color w:val="auto"/>
          <w:spacing w:val="0"/>
          <w:sz w:val="32"/>
          <w:szCs w:val="32"/>
          <w:highlight w:val="none"/>
          <w:lang w:eastAsia="zh-CN"/>
        </w:rPr>
        <w:t>重大</w:t>
      </w:r>
      <w:r>
        <w:rPr>
          <w:rFonts w:hint="eastAsia" w:ascii="仿宋" w:hAnsi="仿宋" w:eastAsia="仿宋" w:cs="仿宋"/>
          <w:color w:val="auto"/>
          <w:spacing w:val="0"/>
          <w:sz w:val="32"/>
          <w:szCs w:val="32"/>
          <w:lang w:eastAsia="zh-CN"/>
        </w:rPr>
        <w:t>自然灾害，一次灾害过程出现以下情况之一的，启动Ⅰ级响应：</w:t>
      </w:r>
    </w:p>
    <w:p w14:paraId="7CC23B6E">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1</w:t>
      </w:r>
      <w:r>
        <w:rPr>
          <w:rFonts w:hint="eastAsia" w:ascii="仿宋" w:hAnsi="仿宋" w:eastAsia="仿宋" w:cs="仿宋"/>
          <w:color w:val="auto"/>
          <w:spacing w:val="0"/>
          <w:sz w:val="32"/>
          <w:szCs w:val="32"/>
          <w:lang w:eastAsia="zh-CN"/>
        </w:rPr>
        <w:t>）死亡、失踪5人以上（“以上”含本数，“以下”不含本数，下同）；</w:t>
      </w:r>
    </w:p>
    <w:p w14:paraId="6C7260FB">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2</w:t>
      </w:r>
      <w:r>
        <w:rPr>
          <w:rFonts w:hint="eastAsia" w:ascii="仿宋" w:hAnsi="仿宋" w:eastAsia="仿宋" w:cs="仿宋"/>
          <w:color w:val="auto"/>
          <w:spacing w:val="0"/>
          <w:sz w:val="32"/>
          <w:szCs w:val="32"/>
          <w:lang w:eastAsia="zh-CN"/>
        </w:rPr>
        <w:t>）紧急转移安置或需紧急生活救助1万人以上；</w:t>
      </w:r>
    </w:p>
    <w:p w14:paraId="52AAB7F5">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3</w:t>
      </w:r>
      <w:r>
        <w:rPr>
          <w:rFonts w:hint="eastAsia" w:ascii="仿宋" w:hAnsi="仿宋" w:eastAsia="仿宋" w:cs="仿宋"/>
          <w:color w:val="auto"/>
          <w:spacing w:val="0"/>
          <w:sz w:val="32"/>
          <w:szCs w:val="32"/>
          <w:lang w:eastAsia="zh-CN"/>
        </w:rPr>
        <w:t>）倒塌和严重损坏房屋1000间或500户以上；</w:t>
      </w:r>
    </w:p>
    <w:p w14:paraId="02D1564E">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4</w:t>
      </w:r>
      <w:r>
        <w:rPr>
          <w:rFonts w:hint="eastAsia" w:ascii="仿宋" w:hAnsi="仿宋" w:eastAsia="仿宋" w:cs="仿宋"/>
          <w:color w:val="auto"/>
          <w:spacing w:val="0"/>
          <w:sz w:val="32"/>
          <w:szCs w:val="32"/>
          <w:lang w:eastAsia="zh-CN"/>
        </w:rPr>
        <w:t>）干旱灾害造成缺粮或缺水等生活困难，需政府救助人数占受灾区域农牧业人口15%以上或9万人以上；</w:t>
      </w:r>
    </w:p>
    <w:p w14:paraId="6FB0734E">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5</w:t>
      </w:r>
      <w:r>
        <w:rPr>
          <w:rFonts w:hint="eastAsia" w:ascii="仿宋" w:hAnsi="仿宋" w:eastAsia="仿宋" w:cs="仿宋"/>
          <w:color w:val="auto"/>
          <w:spacing w:val="0"/>
          <w:sz w:val="32"/>
          <w:szCs w:val="32"/>
          <w:lang w:eastAsia="zh-CN"/>
        </w:rPr>
        <w:t>）灾害造成群众生产生活资料遭受巨大损失、短期内失去收入来源、社会广泛关注；</w:t>
      </w:r>
    </w:p>
    <w:p w14:paraId="28E85695">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6</w:t>
      </w:r>
      <w:r>
        <w:rPr>
          <w:rFonts w:hint="eastAsia" w:ascii="仿宋" w:hAnsi="仿宋" w:eastAsia="仿宋" w:cs="仿宋"/>
          <w:color w:val="auto"/>
          <w:spacing w:val="0"/>
          <w:sz w:val="32"/>
          <w:szCs w:val="32"/>
          <w:lang w:eastAsia="zh-CN"/>
        </w:rPr>
        <w:t>）其他符合启动条件的情形。</w:t>
      </w:r>
    </w:p>
    <w:p w14:paraId="038CED8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2.启动程序</w:t>
      </w:r>
    </w:p>
    <w:p w14:paraId="3C11C76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灾害发生后，区应急局经分析评估，认定灾情达到Ⅰ级响应启动标准，向区安全生产和防灾减灾救灾委员会提出启动建议，经区安全生产和防灾减灾救灾委员会主任批准后，区应急局按程序以区安全生产和防灾减灾救灾委员会名义下发启动响应的通知，并向区委、区政府报告。同时向省、市安全生产和防灾减灾救灾委员会、应急管理部门报告，请求启动省、市级救助应急响应。</w:t>
      </w:r>
    </w:p>
    <w:p w14:paraId="6A17B0F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3.响应措施</w:t>
      </w:r>
    </w:p>
    <w:p w14:paraId="51FB575B">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区安全生产和防灾减灾救灾委员会主任统一组织、领导、协调区级层面自然灾害救助工作，指导和支持受灾区救助工作，区安全生产和防灾减灾救灾委员会及其成员单位视情况采取以下措施：</w:t>
      </w:r>
    </w:p>
    <w:p w14:paraId="0EE763F8">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1</w:t>
      </w:r>
      <w:r>
        <w:rPr>
          <w:rFonts w:hint="eastAsia" w:ascii="仿宋" w:hAnsi="仿宋" w:eastAsia="仿宋" w:cs="仿宋"/>
          <w:color w:val="auto"/>
          <w:spacing w:val="0"/>
          <w:sz w:val="32"/>
          <w:szCs w:val="32"/>
          <w:lang w:eastAsia="zh-CN"/>
        </w:rPr>
        <w:t>）区安全生产和防灾减灾救灾委员会主任或委托副主任主持召开灾情和救灾工作会商会议，各成员单位、专家委员会及有关受灾地区参加，对指导支持灾区减灾救灾重大事项作出决定。</w:t>
      </w:r>
    </w:p>
    <w:p w14:paraId="11EC125D">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2</w:t>
      </w:r>
      <w:r>
        <w:rPr>
          <w:rFonts w:hint="eastAsia" w:ascii="仿宋" w:hAnsi="仿宋" w:eastAsia="仿宋" w:cs="仿宋"/>
          <w:color w:val="auto"/>
          <w:spacing w:val="0"/>
          <w:sz w:val="32"/>
          <w:szCs w:val="32"/>
          <w:lang w:eastAsia="zh-CN"/>
        </w:rPr>
        <w:t>）区安全生产和防灾减灾救灾委员会主任或指定副主任率领区安全生产和防灾减灾救灾委员会有关部门赴灾区指导救助工作，区应急局主要负责同志根据灾情发展或区委、区政府领导同志指示批示，率有关部门组成的先期工作组赴灾区指导救助工作。</w:t>
      </w:r>
    </w:p>
    <w:p w14:paraId="09BF2ACB">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3</w:t>
      </w:r>
      <w:r>
        <w:rPr>
          <w:rFonts w:hint="eastAsia" w:ascii="仿宋" w:hAnsi="仿宋" w:eastAsia="仿宋" w:cs="仿宋"/>
          <w:color w:val="auto"/>
          <w:spacing w:val="0"/>
          <w:sz w:val="32"/>
          <w:szCs w:val="32"/>
          <w:lang w:eastAsia="zh-CN"/>
        </w:rPr>
        <w:t>）区安全生产和防灾减灾救灾委员会报请市安全生产和防灾减灾救灾委员会给予救灾物资、救灾资金支援。</w:t>
      </w:r>
    </w:p>
    <w:p w14:paraId="2ABB0E4D">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4</w:t>
      </w:r>
      <w:r>
        <w:rPr>
          <w:rFonts w:hint="eastAsia" w:ascii="仿宋" w:hAnsi="仿宋" w:eastAsia="仿宋" w:cs="仿宋"/>
          <w:color w:val="auto"/>
          <w:spacing w:val="0"/>
          <w:sz w:val="32"/>
          <w:szCs w:val="32"/>
          <w:lang w:eastAsia="zh-CN"/>
        </w:rPr>
        <w:t>）区安全生产和防灾减灾救灾委员会指挥内部救援力量听从市安全生产和防灾减灾救灾委员会指挥，开展灾害救助行动。</w:t>
      </w:r>
    </w:p>
    <w:p w14:paraId="56FD0E6F">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5</w:t>
      </w:r>
      <w:r>
        <w:rPr>
          <w:rFonts w:hint="eastAsia" w:ascii="仿宋" w:hAnsi="仿宋" w:eastAsia="仿宋" w:cs="仿宋"/>
          <w:color w:val="auto"/>
          <w:spacing w:val="0"/>
          <w:sz w:val="32"/>
          <w:szCs w:val="32"/>
          <w:lang w:eastAsia="zh-CN"/>
        </w:rPr>
        <w:t>）灾情稳定后，根据区委、区政府关于灾害评估工作的有关部署，区应急局负责指导、组织各街道办事处、村屯开展灾害损失评估工作。区应急局汇总后按有关规定统一发布自然灾害损失情况。</w:t>
      </w:r>
    </w:p>
    <w:p w14:paraId="2AC488E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bookmarkStart w:id="17" w:name="_Toc5156"/>
      <w:r>
        <w:rPr>
          <w:rFonts w:hint="eastAsia" w:ascii="黑体" w:hAnsi="黑体" w:eastAsia="黑体" w:cs="黑体"/>
          <w:color w:val="auto"/>
          <w:spacing w:val="0"/>
          <w:sz w:val="32"/>
          <w:szCs w:val="32"/>
          <w:lang w:eastAsia="zh-CN"/>
        </w:rPr>
        <w:t>六、组织自救互救</w:t>
      </w:r>
      <w:bookmarkEnd w:id="17"/>
    </w:p>
    <w:p w14:paraId="50C4BB44">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对灾害发生在地广人稀的及救助能力特别薄弱的地区等特殊情况，或灾害对受灾区域经济社会造成重大影响时，启动自然灾害救助应急响应的标准可酌情调整。救灾应急工作结束后，由区应急局提出申请，经启动响应的单位批准，响应终止。</w:t>
      </w:r>
    </w:p>
    <w:p w14:paraId="2651062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bookmarkStart w:id="18" w:name="_Toc29331"/>
      <w:r>
        <w:rPr>
          <w:rFonts w:hint="eastAsia" w:ascii="黑体" w:hAnsi="黑体" w:eastAsia="黑体" w:cs="黑体"/>
          <w:color w:val="auto"/>
          <w:spacing w:val="0"/>
          <w:sz w:val="32"/>
          <w:szCs w:val="32"/>
          <w:lang w:eastAsia="zh-CN"/>
        </w:rPr>
        <w:t>七、现场管控</w:t>
      </w:r>
      <w:bookmarkEnd w:id="18"/>
    </w:p>
    <w:p w14:paraId="0D65057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19" w:name="_Toc7471"/>
      <w:r>
        <w:rPr>
          <w:rFonts w:hint="eastAsia" w:ascii="楷体" w:hAnsi="楷体" w:eastAsia="楷体" w:cs="楷体"/>
          <w:b w:val="0"/>
          <w:bCs w:val="0"/>
          <w:color w:val="auto"/>
          <w:spacing w:val="0"/>
          <w:sz w:val="32"/>
          <w:szCs w:val="32"/>
          <w:lang w:eastAsia="zh-CN"/>
        </w:rPr>
        <w:t>（一）过渡期生活救助</w:t>
      </w:r>
      <w:bookmarkEnd w:id="19"/>
    </w:p>
    <w:p w14:paraId="778E97A4">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w:t>
      </w:r>
      <w:r>
        <w:rPr>
          <w:rFonts w:hint="eastAsia" w:ascii="仿宋" w:hAnsi="仿宋" w:eastAsia="仿宋" w:cs="仿宋"/>
          <w:color w:val="auto"/>
          <w:spacing w:val="0"/>
          <w:sz w:val="32"/>
          <w:szCs w:val="32"/>
          <w:highlight w:val="none"/>
          <w:lang w:eastAsia="zh-CN"/>
        </w:rPr>
        <w:t>重大、较大</w:t>
      </w:r>
      <w:r>
        <w:rPr>
          <w:rFonts w:hint="eastAsia" w:ascii="仿宋" w:hAnsi="仿宋" w:eastAsia="仿宋" w:cs="仿宋"/>
          <w:color w:val="auto"/>
          <w:spacing w:val="0"/>
          <w:sz w:val="32"/>
          <w:szCs w:val="32"/>
          <w:lang w:eastAsia="zh-CN"/>
        </w:rPr>
        <w:t>灾害发生后，区应急局组织有关部门、专家评估灾区过渡期生活救助需求情况。</w:t>
      </w:r>
    </w:p>
    <w:p w14:paraId="345C5561">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2.区财政局、区应急局按规定及时拨付过渡期生活救助资金。区应急局指导受灾街道办事处、村屯做好过渡期生活救助的人员核定、资金发放等工作。</w:t>
      </w:r>
    </w:p>
    <w:p w14:paraId="55444C2B">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3.区应急局、区财政局监督检查灾区过渡期生活救助政策和措施的落实，定期通报灾区救助工作情况，过渡期生活救助工作结束后组织绩效评估。</w:t>
      </w:r>
    </w:p>
    <w:p w14:paraId="382AF6F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20" w:name="_Toc10835"/>
      <w:r>
        <w:rPr>
          <w:rFonts w:hint="eastAsia" w:ascii="楷体" w:hAnsi="楷体" w:eastAsia="楷体" w:cs="楷体"/>
          <w:b w:val="0"/>
          <w:bCs w:val="0"/>
          <w:color w:val="auto"/>
          <w:spacing w:val="0"/>
          <w:sz w:val="32"/>
          <w:szCs w:val="32"/>
          <w:lang w:eastAsia="zh-CN"/>
        </w:rPr>
        <w:t>（二）冬春救助</w:t>
      </w:r>
      <w:bookmarkEnd w:id="20"/>
    </w:p>
    <w:p w14:paraId="635170C4">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自然灾害发生后的当年冬季、次年春季，区政府为生活困难的受灾人员提供基本生活救助。</w:t>
      </w:r>
    </w:p>
    <w:p w14:paraId="466005E4">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区应急局根据市应急局的要求，在每年10月中旬前统计、评估受灾人员当年冬季、次年春季的基本生活救助需求，核实救助对象，编制工作台账，制定救助工作方案，经区政府批准后实施救助，并报市应急局备案。</w:t>
      </w:r>
    </w:p>
    <w:p w14:paraId="6CCECAE0">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2.经市政府批准，由市财政局、市应急局下拨的自然灾害生活补助资金，由区安全生产和防灾减灾救灾委员会统一部署、合理使用，专项用于帮助解决冬春受灾群众吃饭、穿衣、取暖等基本生活困难。</w:t>
      </w:r>
    </w:p>
    <w:p w14:paraId="5449E56A">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3.对于市发展和改革、财政、粮食、应急管理等部门制定的其他自然灾害救助政策，区政府相关部门负责做好沟通、协调、落实工作。</w:t>
      </w:r>
    </w:p>
    <w:p w14:paraId="31F2FF0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21" w:name="_Toc32750"/>
      <w:r>
        <w:rPr>
          <w:rFonts w:hint="eastAsia" w:ascii="楷体" w:hAnsi="楷体" w:eastAsia="楷体" w:cs="楷体"/>
          <w:b w:val="0"/>
          <w:bCs w:val="0"/>
          <w:color w:val="auto"/>
          <w:spacing w:val="0"/>
          <w:sz w:val="32"/>
          <w:szCs w:val="32"/>
          <w:lang w:eastAsia="zh-CN"/>
        </w:rPr>
        <w:t>（三）倒损住房恢复重建</w:t>
      </w:r>
      <w:bookmarkEnd w:id="21"/>
    </w:p>
    <w:p w14:paraId="522EA27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因灾害倒损住房恢复重建要尊重受灾群众意愿，以受灾户自建为主，由区政府负责组织实施。建房资金等通过政府救助、社会互助、邻里帮工帮料、以工代赈、自行筹措、政策优惠等多种途径解决。积极发挥居民住宅地震、农房等保险的经济补偿作用，完善市场化筹集重建资金机制。重建规划和房屋设计要根据灾情因地制宜确定方案，科学安排项目选址，合理布局，避开地震断裂带、地质灾害隐患点、泄洪通道等，提高抗灾设防能力，确保安全。</w:t>
      </w:r>
    </w:p>
    <w:p w14:paraId="621C3AF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1.区应急局根据街道办事处、村屯倒损住房核定情况，会同有关部门成立评估小组，对因灾害住房倒损情况进行综合评估。</w:t>
      </w:r>
    </w:p>
    <w:p w14:paraId="700E563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区应急局收到街道办事处、村屯倒损住房恢复重建补助资金的申请报告后，根据评估小组的倒损住房情况评估结果，按照倒损住房恢复重建资金补助标准提出资金补助建议，汇总后，经区政府批准，上报市财政、民政等部门。</w:t>
      </w:r>
    </w:p>
    <w:p w14:paraId="710D6E7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3.倒损住房资金补助经批准下拨后，区安全生产和防灾减灾救灾委员会负责组织下发。</w:t>
      </w:r>
    </w:p>
    <w:p w14:paraId="2B52BA6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4.区住建局负责提供倒损住房恢复重建的技术服务和指导。其他相关部门按照各自职责，做好重建规划、选址，制定优惠政策，支持做好住房重建工作。必要时可以申请市住建部门技术支援。</w:t>
      </w:r>
    </w:p>
    <w:p w14:paraId="1FC58A5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5.由区委、区政府统一组织开展的恢复重建，按有关规定执行。</w:t>
      </w:r>
    </w:p>
    <w:p w14:paraId="7858D05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6.住房重建工作结束后，区安全生产和防灾减灾救灾委员会组织相关部门采取实地调查、抽样调查等方式对损住房恢复重建补助资金管理工作开展绩效评估，并将评估结果上报市应急局。</w:t>
      </w:r>
    </w:p>
    <w:p w14:paraId="023CB3C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bookmarkStart w:id="22" w:name="_Toc23607"/>
      <w:r>
        <w:rPr>
          <w:rFonts w:hint="eastAsia" w:ascii="黑体" w:hAnsi="黑体" w:eastAsia="黑体" w:cs="黑体"/>
          <w:color w:val="auto"/>
          <w:spacing w:val="0"/>
          <w:sz w:val="32"/>
          <w:szCs w:val="32"/>
          <w:lang w:eastAsia="zh-CN"/>
        </w:rPr>
        <w:t>八、队伍物资保障</w:t>
      </w:r>
      <w:bookmarkEnd w:id="22"/>
    </w:p>
    <w:p w14:paraId="6DC9B8F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23" w:name="_Toc29565"/>
      <w:r>
        <w:rPr>
          <w:rFonts w:hint="eastAsia" w:ascii="楷体" w:hAnsi="楷体" w:eastAsia="楷体" w:cs="楷体"/>
          <w:b w:val="0"/>
          <w:bCs w:val="0"/>
          <w:color w:val="auto"/>
          <w:spacing w:val="0"/>
          <w:sz w:val="32"/>
          <w:szCs w:val="32"/>
          <w:lang w:eastAsia="zh-CN"/>
        </w:rPr>
        <w:t>（一）资金保障</w:t>
      </w:r>
      <w:bookmarkEnd w:id="23"/>
    </w:p>
    <w:p w14:paraId="6ECA26F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区财政局、区应急局等部门根据《中华人民共和国预算法》《自然灾害救助条例》等规定，按照救灾工作分级负责、救灾资金分级负担、属地为主的原则，做好救灾资金筹划和投入预算。</w:t>
      </w:r>
    </w:p>
    <w:p w14:paraId="5C44A71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1.区政府将自然灾害救助工作纳入国民经济和社会发展规划，建立健全与自然灾害救助需求相适应的资金、物资保障机制，将自然灾害救助资金和自然灾害救助工作经费纳入财政预算。</w:t>
      </w:r>
    </w:p>
    <w:p w14:paraId="50CC135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2.区财政每年综合考虑有关部门灾情预测和上年度实际支出等因素，谋划专项资金用于帮助解决遭受重大、较大自然灾害地区受灾群众的基本生活困难。</w:t>
      </w:r>
    </w:p>
    <w:p w14:paraId="400E206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3.区政府根据经济社会发展水平、自然灾害生活救助成本等因素适时调整自然灾害救助政策和相关补助标准。</w:t>
      </w:r>
    </w:p>
    <w:p w14:paraId="78FF0E8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4.区应急局等资金主管部门会同区财政局按有关规定对自然灾害救助资金管理工作进行检查。</w:t>
      </w:r>
    </w:p>
    <w:p w14:paraId="6BDD207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24" w:name="_Toc7927"/>
      <w:r>
        <w:rPr>
          <w:rFonts w:hint="eastAsia" w:ascii="楷体" w:hAnsi="楷体" w:eastAsia="楷体" w:cs="楷体"/>
          <w:b w:val="0"/>
          <w:bCs w:val="0"/>
          <w:color w:val="auto"/>
          <w:spacing w:val="0"/>
          <w:sz w:val="32"/>
          <w:szCs w:val="32"/>
          <w:lang w:eastAsia="zh-CN"/>
        </w:rPr>
        <w:t>（二）物资保障</w:t>
      </w:r>
      <w:bookmarkEnd w:id="24"/>
    </w:p>
    <w:p w14:paraId="1D3363C1">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1.区政府根据自然灾害特点、居民人口数量和分布等情况，按照布局合理、规模适度的原则，设立救灾物资储备库。</w:t>
      </w:r>
    </w:p>
    <w:p w14:paraId="57869397">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2.制定救灾物资储备规划，合理确定储备品种和规模。建立健全救灾物资采购和储备制度，每年根据应对重大自然灾害的要求储备必要物资。按照实物储备和能力储备相结合的原则，健全应急采购和供货机制。</w:t>
      </w:r>
    </w:p>
    <w:p w14:paraId="60D8F5B3">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 w:hAnsi="仿宋" w:eastAsia="仿宋" w:cs="仿宋"/>
          <w:color w:val="auto"/>
          <w:spacing w:val="0"/>
          <w:sz w:val="32"/>
          <w:szCs w:val="32"/>
          <w:lang w:eastAsia="zh-CN"/>
        </w:rPr>
        <w:t>3.制定完善救灾物资管理标准，完善救灾物资发放全过程管理。建立健全救灾物资应急保障和征用补偿机制。建立健全救灾物资紧急调拨和运输制度。</w:t>
      </w:r>
    </w:p>
    <w:p w14:paraId="7E56B8C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25" w:name="_Toc10135"/>
      <w:r>
        <w:rPr>
          <w:rFonts w:hint="eastAsia" w:ascii="楷体" w:hAnsi="楷体" w:eastAsia="楷体" w:cs="楷体"/>
          <w:b w:val="0"/>
          <w:bCs w:val="0"/>
          <w:color w:val="auto"/>
          <w:spacing w:val="0"/>
          <w:sz w:val="32"/>
          <w:szCs w:val="32"/>
          <w:lang w:eastAsia="zh-CN"/>
        </w:rPr>
        <w:t>（三）通信和信息保障</w:t>
      </w:r>
      <w:bookmarkEnd w:id="25"/>
    </w:p>
    <w:p w14:paraId="5FFC9C70">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1.区工信局负责协调市行业主管部门做好灾害事故应急指挥通信保障。通信运营部门应依法保障灾情传送网络畅通。</w:t>
      </w:r>
    </w:p>
    <w:p w14:paraId="790A5A36">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2.充分利用现有资源、设备，完善灾情和数据共享平台，健全灾情共享机制。</w:t>
      </w:r>
    </w:p>
    <w:p w14:paraId="1D33CE8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26" w:name="_Toc4027"/>
      <w:r>
        <w:rPr>
          <w:rFonts w:hint="eastAsia" w:ascii="楷体" w:hAnsi="楷体" w:eastAsia="楷体" w:cs="楷体"/>
          <w:b w:val="0"/>
          <w:bCs w:val="0"/>
          <w:color w:val="auto"/>
          <w:spacing w:val="0"/>
          <w:sz w:val="32"/>
          <w:szCs w:val="32"/>
          <w:lang w:eastAsia="zh-CN"/>
        </w:rPr>
        <w:t>（四）装备和设施保障</w:t>
      </w:r>
      <w:bookmarkEnd w:id="26"/>
    </w:p>
    <w:p w14:paraId="678766F6">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1.区政府建立健全自然灾害救助应急指挥技术支撑系统，并为自然灾害救助工作提供必要的交通、通信等设备。</w:t>
      </w:r>
    </w:p>
    <w:p w14:paraId="5085DB9C">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2.区政府根据居民人口数量和分布等情况，利用公园、广场等公共设施，统筹规划设立应急避难场所，并设置明显标志。</w:t>
      </w:r>
    </w:p>
    <w:p w14:paraId="3A46CD42">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 w:hAnsi="仿宋" w:eastAsia="仿宋" w:cs="仿宋"/>
          <w:color w:val="auto"/>
          <w:spacing w:val="0"/>
          <w:sz w:val="32"/>
          <w:szCs w:val="32"/>
          <w:lang w:eastAsia="zh-CN"/>
        </w:rPr>
        <w:t>3.灾情发生后，区政府及时启用各类避难场所，科学设置受灾群众安置点，避开地质灾害隐患点，防范次生灾害，同时要加强安置点消防安全、卫生防疫、食品安全、治安等保障，确保安置点秩序。</w:t>
      </w:r>
    </w:p>
    <w:p w14:paraId="493D31C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27" w:name="_Toc10166"/>
      <w:r>
        <w:rPr>
          <w:rFonts w:hint="eastAsia" w:ascii="楷体" w:hAnsi="楷体" w:eastAsia="楷体" w:cs="楷体"/>
          <w:b w:val="0"/>
          <w:bCs w:val="0"/>
          <w:color w:val="auto"/>
          <w:spacing w:val="0"/>
          <w:sz w:val="32"/>
          <w:szCs w:val="32"/>
          <w:lang w:eastAsia="zh-CN"/>
        </w:rPr>
        <w:t>（五）人力资源保障</w:t>
      </w:r>
      <w:bookmarkEnd w:id="27"/>
    </w:p>
    <w:p w14:paraId="4BAC2A43">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区安全生产和防灾减灾救灾委员会加强自然灾害各类专业救灾队伍建设、灾害管理人员队伍建设，提高自然灾害救助能力。支持、培育和发展相关社会组织和志愿者队伍，鼓励和引导其在救灾工作中发挥积极作用。</w:t>
      </w:r>
    </w:p>
    <w:p w14:paraId="26DE2D4D">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2.区安全生产和防灾减灾救灾委员会组织区应急局、区住建局、区水务局、区商务局、区卫健局、红十字会等方面专家，重点开展灾情会商、赴灾区现场评估及灾害管理的咨询工作。</w:t>
      </w:r>
    </w:p>
    <w:p w14:paraId="347C9819">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3.推行灾害信息员培训制度，建立健全灾害信息员队伍。村民委员会、居民委员会和企事业单位应当设立专职或者兼职的灾害信息员。</w:t>
      </w:r>
    </w:p>
    <w:p w14:paraId="2AE3C89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28" w:name="_Toc11071"/>
      <w:r>
        <w:rPr>
          <w:rFonts w:hint="eastAsia" w:ascii="楷体" w:hAnsi="楷体" w:eastAsia="楷体" w:cs="楷体"/>
          <w:b w:val="0"/>
          <w:bCs w:val="0"/>
          <w:color w:val="auto"/>
          <w:spacing w:val="0"/>
          <w:sz w:val="32"/>
          <w:szCs w:val="32"/>
          <w:lang w:eastAsia="zh-CN"/>
        </w:rPr>
        <w:t>（六）社会动员保障</w:t>
      </w:r>
      <w:bookmarkEnd w:id="28"/>
    </w:p>
    <w:p w14:paraId="7F93ADC2">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安全生产和防灾减灾救灾委员会完善救灾捐赠管理相关政策，建立健全救灾捐赠动员、运行和监督管理机制，规范救灾捐赠的组织发动、款物接收、统计、分配、使用、公示反馈等各个环节的工作，完善接收救灾捐赠管理机制。完善非灾区支援灾区、轻灾区支援重灾区的救助对口支援机制。科学组织、有效引导，充分发挥街道办事处、村屯、企事业单位、社会组织和志愿者在灾害救助中的作用。</w:t>
      </w:r>
    </w:p>
    <w:p w14:paraId="5F7DE84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29" w:name="_Toc18470"/>
      <w:r>
        <w:rPr>
          <w:rFonts w:hint="eastAsia" w:ascii="楷体" w:hAnsi="楷体" w:eastAsia="楷体" w:cs="楷体"/>
          <w:b w:val="0"/>
          <w:bCs w:val="0"/>
          <w:color w:val="auto"/>
          <w:spacing w:val="0"/>
          <w:sz w:val="32"/>
          <w:szCs w:val="32"/>
          <w:lang w:eastAsia="zh-CN"/>
        </w:rPr>
        <w:t>（七）宣传、培训和演练</w:t>
      </w:r>
      <w:bookmarkEnd w:id="29"/>
    </w:p>
    <w:p w14:paraId="7C45E9D9">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区安全生产和防灾减灾救灾委员会组织开展防灾减灾救灾宣传活动，利用各种媒体宣传应急法律法规和灾害预防、避险、避灾、自救、互救、保险的常识，组织“全国防灾减灾日”“国际减灾日”“世界急救日”“全国科普日”“全国消防日”等主题活动，加强防灾减灾科普宣传，提高公民防灾减灾意识和科学防灾减灾能力。积极推进社区减灾活动，推动减灾示范社区建设。</w:t>
      </w:r>
    </w:p>
    <w:p w14:paraId="21293128">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2.组织开展区安全生产和防灾减灾救灾委员会成员单位负责人、灾害管理人员和专业应急救灾队伍、社会组织和志愿者的培训。</w:t>
      </w:r>
    </w:p>
    <w:p w14:paraId="444F80CE">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 w:hAnsi="仿宋" w:eastAsia="仿宋" w:cs="仿宋"/>
          <w:color w:val="auto"/>
          <w:spacing w:val="0"/>
          <w:sz w:val="32"/>
          <w:szCs w:val="32"/>
          <w:lang w:eastAsia="zh-CN"/>
        </w:rPr>
        <w:t>3.区应急局协同区安全生产和防灾减灾救灾委员会成员单位制定应急演练计划并定期组织演练。</w:t>
      </w:r>
    </w:p>
    <w:p w14:paraId="390D3E4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bookmarkStart w:id="30" w:name="_Toc7451"/>
      <w:r>
        <w:rPr>
          <w:rFonts w:hint="eastAsia" w:ascii="黑体" w:hAnsi="黑体" w:eastAsia="黑体" w:cs="黑体"/>
          <w:color w:val="auto"/>
          <w:spacing w:val="0"/>
          <w:sz w:val="32"/>
          <w:szCs w:val="32"/>
          <w:lang w:eastAsia="zh-CN"/>
        </w:rPr>
        <w:t>九、预案管理</w:t>
      </w:r>
      <w:bookmarkEnd w:id="30"/>
    </w:p>
    <w:p w14:paraId="4C1BACD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bCs/>
          <w:color w:val="auto"/>
          <w:spacing w:val="0"/>
          <w:sz w:val="32"/>
          <w:szCs w:val="32"/>
          <w:lang w:eastAsia="zh-CN"/>
        </w:rPr>
      </w:pPr>
      <w:bookmarkStart w:id="31" w:name="_Toc29877"/>
      <w:r>
        <w:rPr>
          <w:rFonts w:hint="eastAsia" w:ascii="楷体" w:hAnsi="楷体" w:eastAsia="楷体" w:cs="楷体"/>
          <w:b w:val="0"/>
          <w:bCs w:val="0"/>
          <w:color w:val="auto"/>
          <w:spacing w:val="0"/>
          <w:sz w:val="32"/>
          <w:szCs w:val="32"/>
          <w:lang w:eastAsia="zh-CN"/>
        </w:rPr>
        <w:t>（一）编制、审查与审批</w:t>
      </w:r>
      <w:bookmarkEnd w:id="31"/>
    </w:p>
    <w:p w14:paraId="5CC1CB8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本预案由区应急局组织编制，经区政府批准，以区政府办公室名义印发。</w:t>
      </w:r>
    </w:p>
    <w:p w14:paraId="11A8FE3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32" w:name="_Toc7723"/>
      <w:r>
        <w:rPr>
          <w:rFonts w:hint="eastAsia" w:ascii="楷体" w:hAnsi="楷体" w:eastAsia="楷体" w:cs="楷体"/>
          <w:b w:val="0"/>
          <w:bCs w:val="0"/>
          <w:color w:val="auto"/>
          <w:spacing w:val="0"/>
          <w:sz w:val="32"/>
          <w:szCs w:val="32"/>
          <w:lang w:eastAsia="zh-CN"/>
        </w:rPr>
        <w:t>（二）宣传教育和培训</w:t>
      </w:r>
      <w:bookmarkEnd w:id="32"/>
    </w:p>
    <w:p w14:paraId="0CC41327">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负有自然灾害应急管理职责部门要采取多种、有效的途径，广泛开展预警、避险、自救、互救和减灾等应急保障知识的普及工作，增强公众的社会责任意识和自救互救能力，提高公众的自我防范和社会救助能力。</w:t>
      </w:r>
    </w:p>
    <w:p w14:paraId="591F6CB9">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2.新闻宣传单位要通过报刊、新媒体等多种渠道开展自然灾害事件应急保障知识的宣传活动。</w:t>
      </w:r>
    </w:p>
    <w:p w14:paraId="259ADFD5">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3.应急预案管理责任主体部门要根据实际需求，通过编发培训材料、举办培训班、开展工作研讨、桌面推演等方式，对与应急预案实施密切相关的单位管理人员和专业救援人员等进行培训。</w:t>
      </w:r>
    </w:p>
    <w:p w14:paraId="4189B410">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4.各级各类学校要适时开展自然灾害事件预防和应急救助等方面的教育。</w:t>
      </w:r>
    </w:p>
    <w:p w14:paraId="5ACDA0C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33" w:name="_Toc13802"/>
      <w:r>
        <w:rPr>
          <w:rFonts w:hint="eastAsia" w:ascii="楷体" w:hAnsi="楷体" w:eastAsia="楷体" w:cs="楷体"/>
          <w:b w:val="0"/>
          <w:bCs w:val="0"/>
          <w:color w:val="auto"/>
          <w:spacing w:val="0"/>
          <w:sz w:val="32"/>
          <w:szCs w:val="32"/>
          <w:lang w:eastAsia="zh-CN"/>
        </w:rPr>
        <w:t>（三）修订与更新</w:t>
      </w:r>
      <w:bookmarkEnd w:id="33"/>
    </w:p>
    <w:p w14:paraId="1D9ED442">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本预案应根据自然灾害应急救助发展形势变化和实施中发现的问题及时进行更新、修订和补充。有下列情形之一的，应当及时修订本预案：</w:t>
      </w:r>
    </w:p>
    <w:p w14:paraId="71419E26">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1.有关法律、行政法规、规章、标准、上位预案中的有关规定发生变化的；</w:t>
      </w:r>
    </w:p>
    <w:p w14:paraId="7D5CFE27">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2.区安全生产和防灾减灾救灾委员会及其职责发生重大调整的；</w:t>
      </w:r>
    </w:p>
    <w:p w14:paraId="738F232A">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3.面临风险发生重大变化的；</w:t>
      </w:r>
    </w:p>
    <w:p w14:paraId="5544EBFB">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4.重要应急资源发生重大变化的；</w:t>
      </w:r>
    </w:p>
    <w:p w14:paraId="501DE169">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5.预案中其他重要信息发生变化的；</w:t>
      </w:r>
    </w:p>
    <w:p w14:paraId="255D6232">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6.在突发事件实际应对和应急演练中发现问题需要作出重大调整的；</w:t>
      </w:r>
    </w:p>
    <w:p w14:paraId="0A8CE4F8">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7.应急预案制定单位认为应当修订的其他情况。</w:t>
      </w:r>
    </w:p>
    <w:p w14:paraId="5A38B88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34" w:name="_Toc887"/>
      <w:r>
        <w:rPr>
          <w:rFonts w:hint="eastAsia" w:ascii="楷体" w:hAnsi="楷体" w:eastAsia="楷体" w:cs="楷体"/>
          <w:b w:val="0"/>
          <w:bCs w:val="0"/>
          <w:color w:val="auto"/>
          <w:spacing w:val="0"/>
          <w:sz w:val="32"/>
          <w:szCs w:val="32"/>
          <w:lang w:eastAsia="zh-CN"/>
        </w:rPr>
        <w:t>（四）生效时间</w:t>
      </w:r>
      <w:bookmarkEnd w:id="34"/>
    </w:p>
    <w:p w14:paraId="4D0C53A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本预案自印发之日起生效。</w:t>
      </w:r>
    </w:p>
    <w:p w14:paraId="6CF33A5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bookmarkStart w:id="35" w:name="_Toc10471"/>
      <w:r>
        <w:rPr>
          <w:rFonts w:hint="eastAsia" w:ascii="黑体" w:hAnsi="黑体" w:eastAsia="黑体" w:cs="黑体"/>
          <w:color w:val="auto"/>
          <w:spacing w:val="0"/>
          <w:sz w:val="32"/>
          <w:szCs w:val="32"/>
          <w:lang w:eastAsia="zh-CN"/>
        </w:rPr>
        <w:t>十、术语解释</w:t>
      </w:r>
      <w:bookmarkEnd w:id="35"/>
    </w:p>
    <w:p w14:paraId="4A11E64F">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1.本预案所称自然灾害主要包括干旱、洪涝灾害，台风、风雹、低温冷冻、雪、沙尘暴等气象灾害，火山、地震灾害，山体崩塌、滑坡、泥石流等地质灾害，森林草原火灾等。</w:t>
      </w:r>
    </w:p>
    <w:p w14:paraId="2BBD4249">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w:t>
      </w:r>
      <w:r>
        <w:rPr>
          <w:rFonts w:hint="eastAsia" w:ascii="仿宋" w:hAnsi="仿宋" w:eastAsia="仿宋" w:cs="仿宋"/>
          <w:b/>
          <w:bCs/>
          <w:color w:val="auto"/>
          <w:spacing w:val="0"/>
          <w:sz w:val="32"/>
          <w:szCs w:val="32"/>
          <w:lang w:eastAsia="zh-CN"/>
        </w:rPr>
        <w:t>暴雨：</w:t>
      </w:r>
      <w:r>
        <w:rPr>
          <w:rFonts w:hint="eastAsia" w:ascii="仿宋" w:hAnsi="仿宋" w:eastAsia="仿宋" w:cs="仿宋"/>
          <w:color w:val="auto"/>
          <w:spacing w:val="0"/>
          <w:sz w:val="32"/>
          <w:szCs w:val="32"/>
          <w:lang w:eastAsia="zh-CN"/>
        </w:rPr>
        <w:t>一般指24小时内</w:t>
      </w:r>
      <w:r>
        <w:rPr>
          <w:rFonts w:hint="eastAsia" w:ascii="仿宋" w:hAnsi="仿宋" w:eastAsia="仿宋" w:cs="仿宋"/>
          <w:color w:val="auto"/>
          <w:spacing w:val="0"/>
          <w:sz w:val="32"/>
          <w:szCs w:val="32"/>
          <w:highlight w:val="none"/>
          <w:lang w:eastAsia="zh-CN"/>
        </w:rPr>
        <w:t>累积降水量</w:t>
      </w:r>
      <w:r>
        <w:rPr>
          <w:rFonts w:hint="eastAsia" w:ascii="仿宋" w:hAnsi="仿宋" w:eastAsia="仿宋" w:cs="仿宋"/>
          <w:color w:val="auto"/>
          <w:spacing w:val="0"/>
          <w:sz w:val="32"/>
          <w:szCs w:val="32"/>
          <w:lang w:eastAsia="zh-CN"/>
        </w:rPr>
        <w:t>达50毫米或以上，或12小时内</w:t>
      </w:r>
      <w:r>
        <w:rPr>
          <w:rFonts w:hint="eastAsia" w:ascii="仿宋" w:hAnsi="仿宋" w:eastAsia="仿宋" w:cs="仿宋"/>
          <w:color w:val="auto"/>
          <w:spacing w:val="0"/>
          <w:sz w:val="32"/>
          <w:szCs w:val="32"/>
          <w:highlight w:val="none"/>
          <w:lang w:eastAsia="zh-CN"/>
        </w:rPr>
        <w:t>累积降水量</w:t>
      </w:r>
      <w:r>
        <w:rPr>
          <w:rFonts w:hint="eastAsia" w:ascii="仿宋" w:hAnsi="仿宋" w:eastAsia="仿宋" w:cs="仿宋"/>
          <w:color w:val="auto"/>
          <w:spacing w:val="0"/>
          <w:sz w:val="32"/>
          <w:szCs w:val="32"/>
          <w:lang w:eastAsia="zh-CN"/>
        </w:rPr>
        <w:t>达30毫米或以上的降水，会引发洪涝、滑坡、泥石流等灾害。</w:t>
      </w:r>
    </w:p>
    <w:p w14:paraId="16A4BF57">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w:t>
      </w:r>
      <w:r>
        <w:rPr>
          <w:rFonts w:hint="eastAsia" w:ascii="仿宋" w:hAnsi="仿宋" w:eastAsia="仿宋" w:cs="仿宋"/>
          <w:b/>
          <w:bCs/>
          <w:color w:val="auto"/>
          <w:spacing w:val="0"/>
          <w:sz w:val="32"/>
          <w:szCs w:val="32"/>
          <w:lang w:eastAsia="zh-CN"/>
        </w:rPr>
        <w:t>干旱：</w:t>
      </w:r>
      <w:r>
        <w:rPr>
          <w:rFonts w:hint="eastAsia" w:ascii="仿宋" w:hAnsi="仿宋" w:eastAsia="仿宋" w:cs="仿宋"/>
          <w:color w:val="auto"/>
          <w:spacing w:val="0"/>
          <w:sz w:val="32"/>
          <w:szCs w:val="32"/>
          <w:lang w:eastAsia="zh-CN"/>
        </w:rPr>
        <w:t>指长期无雨或少雨导致土壤和空气干燥的气候现象，会对农牧业、林业、水利以及人畜饮水等造成危害。</w:t>
      </w:r>
    </w:p>
    <w:p w14:paraId="494D37C2">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w:t>
      </w:r>
      <w:r>
        <w:rPr>
          <w:rFonts w:hint="eastAsia" w:ascii="仿宋" w:hAnsi="仿宋" w:eastAsia="仿宋" w:cs="仿宋"/>
          <w:b/>
          <w:bCs/>
          <w:color w:val="auto"/>
          <w:spacing w:val="0"/>
          <w:sz w:val="32"/>
          <w:szCs w:val="32"/>
          <w:lang w:eastAsia="zh-CN"/>
        </w:rPr>
        <w:t>低温：</w:t>
      </w:r>
      <w:r>
        <w:rPr>
          <w:rFonts w:hint="eastAsia" w:ascii="仿宋" w:hAnsi="仿宋" w:eastAsia="仿宋" w:cs="仿宋"/>
          <w:color w:val="auto"/>
          <w:spacing w:val="0"/>
          <w:sz w:val="32"/>
          <w:szCs w:val="32"/>
          <w:lang w:eastAsia="zh-CN"/>
        </w:rPr>
        <w:t>指气温较常年异常偏低的天气现象，会对农牧业、能源供应、人体健康等造成危害。</w:t>
      </w:r>
    </w:p>
    <w:p w14:paraId="3260EE6F">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5.</w:t>
      </w:r>
      <w:r>
        <w:rPr>
          <w:rFonts w:hint="eastAsia" w:ascii="仿宋" w:hAnsi="仿宋" w:eastAsia="仿宋" w:cs="仿宋"/>
          <w:b/>
          <w:bCs/>
          <w:color w:val="auto"/>
          <w:spacing w:val="0"/>
          <w:sz w:val="32"/>
          <w:szCs w:val="32"/>
          <w:lang w:eastAsia="zh-CN"/>
        </w:rPr>
        <w:t>高温：</w:t>
      </w:r>
      <w:r>
        <w:rPr>
          <w:rFonts w:hint="eastAsia" w:ascii="仿宋" w:hAnsi="仿宋" w:eastAsia="仿宋" w:cs="仿宋"/>
          <w:color w:val="auto"/>
          <w:spacing w:val="0"/>
          <w:sz w:val="32"/>
          <w:szCs w:val="32"/>
          <w:lang w:eastAsia="zh-CN"/>
        </w:rPr>
        <w:t>指日最高气温在35摄氏度以上的天气现象，会对农牧业、电力、人体健康等造成危害。</w:t>
      </w:r>
    </w:p>
    <w:p w14:paraId="4BA7F3D0">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6.</w:t>
      </w:r>
      <w:r>
        <w:rPr>
          <w:rFonts w:hint="eastAsia" w:ascii="仿宋" w:hAnsi="仿宋" w:eastAsia="仿宋" w:cs="仿宋"/>
          <w:b/>
          <w:bCs/>
          <w:color w:val="auto"/>
          <w:spacing w:val="0"/>
          <w:sz w:val="32"/>
          <w:szCs w:val="32"/>
          <w:lang w:eastAsia="zh-CN"/>
        </w:rPr>
        <w:t>大风：</w:t>
      </w:r>
      <w:r>
        <w:rPr>
          <w:rFonts w:hint="eastAsia" w:ascii="仿宋" w:hAnsi="仿宋" w:eastAsia="仿宋" w:cs="仿宋"/>
          <w:color w:val="auto"/>
          <w:spacing w:val="0"/>
          <w:sz w:val="32"/>
          <w:szCs w:val="32"/>
          <w:lang w:eastAsia="zh-CN"/>
        </w:rPr>
        <w:t>指平均风力大于6级、阵风风力大于7级的风，会对农业、交通、水上作业、建筑设施、施工作业等造成危害。</w:t>
      </w:r>
    </w:p>
    <w:p w14:paraId="05414417">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7.</w:t>
      </w:r>
      <w:r>
        <w:rPr>
          <w:rFonts w:hint="eastAsia" w:ascii="仿宋" w:hAnsi="仿宋" w:eastAsia="仿宋" w:cs="仿宋"/>
          <w:b/>
          <w:bCs/>
          <w:color w:val="auto"/>
          <w:spacing w:val="0"/>
          <w:sz w:val="32"/>
          <w:szCs w:val="32"/>
          <w:lang w:eastAsia="zh-CN"/>
        </w:rPr>
        <w:t>冰雹：</w:t>
      </w:r>
      <w:r>
        <w:rPr>
          <w:rFonts w:hint="eastAsia" w:ascii="仿宋" w:hAnsi="仿宋" w:eastAsia="仿宋" w:cs="仿宋"/>
          <w:color w:val="auto"/>
          <w:spacing w:val="0"/>
          <w:sz w:val="32"/>
          <w:szCs w:val="32"/>
          <w:lang w:eastAsia="zh-CN"/>
        </w:rPr>
        <w:t>指由冰晶组成的固态降水，会对农业、人身安全、室外设施等造成危害。</w:t>
      </w:r>
    </w:p>
    <w:p w14:paraId="33DDCB72">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8.</w:t>
      </w:r>
      <w:r>
        <w:rPr>
          <w:rFonts w:hint="eastAsia" w:ascii="仿宋" w:hAnsi="仿宋" w:eastAsia="仿宋" w:cs="仿宋"/>
          <w:b/>
          <w:bCs/>
          <w:color w:val="auto"/>
          <w:spacing w:val="0"/>
          <w:sz w:val="32"/>
          <w:szCs w:val="32"/>
          <w:lang w:eastAsia="zh-CN"/>
        </w:rPr>
        <w:t>雷电：</w:t>
      </w:r>
      <w:r>
        <w:rPr>
          <w:rFonts w:hint="eastAsia" w:ascii="仿宋" w:hAnsi="仿宋" w:eastAsia="仿宋" w:cs="仿宋"/>
          <w:color w:val="auto"/>
          <w:spacing w:val="0"/>
          <w:sz w:val="32"/>
          <w:szCs w:val="32"/>
          <w:lang w:eastAsia="zh-CN"/>
        </w:rPr>
        <w:t>指发展旺盛的积雨云中伴有闪电和雷鸣的放电现象，会对人身安全、建筑、电力和通信设施等造成危害。</w:t>
      </w:r>
    </w:p>
    <w:p w14:paraId="5ED2AAE1">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9.</w:t>
      </w:r>
      <w:r>
        <w:rPr>
          <w:rFonts w:hint="eastAsia" w:ascii="仿宋" w:hAnsi="仿宋" w:eastAsia="仿宋" w:cs="仿宋"/>
          <w:b/>
          <w:bCs/>
          <w:color w:val="auto"/>
          <w:spacing w:val="0"/>
          <w:sz w:val="32"/>
          <w:szCs w:val="32"/>
          <w:lang w:eastAsia="zh-CN"/>
        </w:rPr>
        <w:t>寒潮：</w:t>
      </w:r>
      <w:r>
        <w:rPr>
          <w:rFonts w:hint="eastAsia" w:ascii="仿宋" w:hAnsi="仿宋" w:eastAsia="仿宋" w:cs="仿宋"/>
          <w:color w:val="auto"/>
          <w:spacing w:val="0"/>
          <w:sz w:val="32"/>
          <w:szCs w:val="32"/>
          <w:lang w:eastAsia="zh-CN"/>
        </w:rPr>
        <w:t>指强冷空气的突发性侵袭活动，其带来的大风、降温等天气现象，会对农牧业、交通、人体健康、能源供应等造成危害。</w:t>
      </w:r>
    </w:p>
    <w:p w14:paraId="52F26B1B">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10.</w:t>
      </w:r>
      <w:r>
        <w:rPr>
          <w:rFonts w:hint="eastAsia" w:ascii="仿宋" w:hAnsi="仿宋" w:eastAsia="仿宋" w:cs="仿宋"/>
          <w:b/>
          <w:bCs/>
          <w:color w:val="auto"/>
          <w:spacing w:val="0"/>
          <w:sz w:val="32"/>
          <w:szCs w:val="32"/>
          <w:lang w:eastAsia="zh-CN"/>
        </w:rPr>
        <w:t>冰冻：</w:t>
      </w:r>
      <w:r>
        <w:rPr>
          <w:rFonts w:hint="eastAsia" w:ascii="仿宋" w:hAnsi="仿宋" w:eastAsia="仿宋" w:cs="仿宋"/>
          <w:color w:val="auto"/>
          <w:spacing w:val="0"/>
          <w:sz w:val="32"/>
          <w:szCs w:val="32"/>
          <w:lang w:eastAsia="zh-CN"/>
        </w:rPr>
        <w:t>指雨、雪、雾在物体上冻结成冰的天气现象，会对农牧业、林业、交通和电力、通信设施等造成危害。</w:t>
      </w:r>
    </w:p>
    <w:p w14:paraId="3903BDD4">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11</w:t>
      </w:r>
      <w:r>
        <w:rPr>
          <w:rFonts w:hint="eastAsia" w:ascii="仿宋" w:hAnsi="仿宋" w:eastAsia="仿宋" w:cs="仿宋"/>
          <w:b w:val="0"/>
          <w:bCs w:val="0"/>
          <w:color w:val="auto"/>
          <w:spacing w:val="0"/>
          <w:sz w:val="32"/>
          <w:szCs w:val="32"/>
          <w:lang w:eastAsia="zh-CN"/>
        </w:rPr>
        <w:t>.</w:t>
      </w:r>
      <w:r>
        <w:rPr>
          <w:rFonts w:hint="eastAsia" w:ascii="仿宋" w:hAnsi="仿宋" w:eastAsia="仿宋" w:cs="仿宋"/>
          <w:b/>
          <w:bCs/>
          <w:color w:val="auto"/>
          <w:spacing w:val="0"/>
          <w:sz w:val="32"/>
          <w:szCs w:val="32"/>
          <w:lang w:eastAsia="zh-CN"/>
        </w:rPr>
        <w:t>大雾：</w:t>
      </w:r>
      <w:r>
        <w:rPr>
          <w:rFonts w:hint="eastAsia" w:ascii="仿宋" w:hAnsi="仿宋" w:eastAsia="仿宋" w:cs="仿宋"/>
          <w:color w:val="auto"/>
          <w:spacing w:val="0"/>
          <w:sz w:val="32"/>
          <w:szCs w:val="32"/>
          <w:lang w:eastAsia="zh-CN"/>
        </w:rPr>
        <w:t>指空气中悬浮的微小水滴或冰晶使能见度显著降低的天气现象，会对交通、电力、人体健康等造成危害。</w:t>
      </w:r>
    </w:p>
    <w:p w14:paraId="5F9651BE">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12.</w:t>
      </w:r>
      <w:r>
        <w:rPr>
          <w:rFonts w:hint="eastAsia" w:ascii="仿宋" w:hAnsi="仿宋" w:eastAsia="仿宋" w:cs="仿宋"/>
          <w:b/>
          <w:bCs/>
          <w:color w:val="auto"/>
          <w:spacing w:val="0"/>
          <w:sz w:val="32"/>
          <w:szCs w:val="32"/>
          <w:lang w:eastAsia="zh-CN"/>
        </w:rPr>
        <w:t>霾：</w:t>
      </w:r>
      <w:r>
        <w:rPr>
          <w:rFonts w:hint="eastAsia" w:ascii="仿宋" w:hAnsi="仿宋" w:eastAsia="仿宋" w:cs="仿宋"/>
          <w:color w:val="auto"/>
          <w:spacing w:val="0"/>
          <w:sz w:val="32"/>
          <w:szCs w:val="32"/>
          <w:lang w:eastAsia="zh-CN"/>
        </w:rPr>
        <w:t>指空气中悬浮的微小尘粒、烟粒或盐粒使能见度显著降低的天气现象，会对交通、环境、人体健康等造成危害。</w:t>
      </w:r>
    </w:p>
    <w:p w14:paraId="2E6D77BA">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13.</w:t>
      </w:r>
      <w:r>
        <w:rPr>
          <w:rFonts w:hint="eastAsia" w:ascii="仿宋" w:hAnsi="仿宋" w:eastAsia="仿宋" w:cs="仿宋"/>
          <w:b/>
          <w:bCs/>
          <w:color w:val="auto"/>
          <w:spacing w:val="0"/>
          <w:sz w:val="32"/>
          <w:szCs w:val="32"/>
          <w:lang w:eastAsia="zh-CN"/>
        </w:rPr>
        <w:t>暴雪：</w:t>
      </w:r>
      <w:r>
        <w:rPr>
          <w:rFonts w:hint="eastAsia" w:ascii="仿宋" w:hAnsi="仿宋" w:eastAsia="仿宋" w:cs="仿宋"/>
          <w:color w:val="auto"/>
          <w:spacing w:val="0"/>
          <w:sz w:val="32"/>
          <w:szCs w:val="32"/>
          <w:lang w:eastAsia="zh-CN"/>
        </w:rPr>
        <w:t>一般指24小时内</w:t>
      </w:r>
      <w:r>
        <w:rPr>
          <w:rFonts w:hint="eastAsia" w:ascii="仿宋" w:hAnsi="仿宋" w:eastAsia="仿宋" w:cs="仿宋"/>
          <w:color w:val="auto"/>
          <w:spacing w:val="0"/>
          <w:sz w:val="32"/>
          <w:szCs w:val="32"/>
          <w:highlight w:val="none"/>
          <w:lang w:eastAsia="zh-CN"/>
        </w:rPr>
        <w:t>累积降水量</w:t>
      </w:r>
      <w:r>
        <w:rPr>
          <w:rFonts w:hint="eastAsia" w:ascii="仿宋" w:hAnsi="仿宋" w:eastAsia="仿宋" w:cs="仿宋"/>
          <w:color w:val="auto"/>
          <w:spacing w:val="0"/>
          <w:sz w:val="32"/>
          <w:szCs w:val="32"/>
          <w:lang w:eastAsia="zh-CN"/>
        </w:rPr>
        <w:t>达15毫米或以上，或12小时内</w:t>
      </w:r>
      <w:r>
        <w:rPr>
          <w:rFonts w:hint="eastAsia" w:ascii="仿宋" w:hAnsi="仿宋" w:eastAsia="仿宋" w:cs="仿宋"/>
          <w:color w:val="auto"/>
          <w:spacing w:val="0"/>
          <w:sz w:val="32"/>
          <w:szCs w:val="32"/>
          <w:highlight w:val="none"/>
          <w:lang w:eastAsia="zh-CN"/>
        </w:rPr>
        <w:t>累积降水量</w:t>
      </w:r>
      <w:r>
        <w:rPr>
          <w:rFonts w:hint="eastAsia" w:ascii="仿宋" w:hAnsi="仿宋" w:eastAsia="仿宋" w:cs="仿宋"/>
          <w:color w:val="auto"/>
          <w:spacing w:val="0"/>
          <w:sz w:val="32"/>
          <w:szCs w:val="32"/>
          <w:lang w:eastAsia="zh-CN"/>
        </w:rPr>
        <w:t>达10毫米或以上的固态降水，会对农牧业、交通、电力、通信设施等造成危害。</w:t>
      </w:r>
    </w:p>
    <w:p w14:paraId="643E6929">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outlineLvl w:val="0"/>
        <w:rPr>
          <w:rFonts w:hint="eastAsia" w:ascii="黑体" w:hAnsi="黑体" w:eastAsia="黑体" w:cs="黑体"/>
          <w:color w:val="auto"/>
          <w:spacing w:val="0"/>
          <w:sz w:val="32"/>
          <w:szCs w:val="32"/>
          <w:lang w:eastAsia="zh-CN"/>
        </w:rPr>
      </w:pPr>
      <w:bookmarkStart w:id="36" w:name="_Toc26881"/>
      <w:r>
        <w:rPr>
          <w:rFonts w:hint="eastAsia" w:ascii="黑体" w:hAnsi="黑体" w:eastAsia="黑体" w:cs="黑体"/>
          <w:color w:val="auto"/>
          <w:spacing w:val="0"/>
          <w:sz w:val="32"/>
          <w:szCs w:val="32"/>
          <w:lang w:eastAsia="zh-CN"/>
        </w:rPr>
        <w:t>十一、附</w:t>
      </w:r>
      <w:r>
        <w:rPr>
          <w:rFonts w:hint="eastAsia" w:ascii="黑体" w:hAnsi="黑体" w:eastAsia="黑体" w:cs="黑体"/>
          <w:color w:val="auto"/>
          <w:spacing w:val="0"/>
          <w:sz w:val="32"/>
          <w:szCs w:val="32"/>
          <w:lang w:val="en-US" w:eastAsia="zh-CN"/>
        </w:rPr>
        <w:t>件</w:t>
      </w:r>
      <w:bookmarkEnd w:id="36"/>
    </w:p>
    <w:p w14:paraId="0D9D8B8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黑体" w:hAnsi="黑体" w:eastAsia="黑体" w:cs="黑体"/>
          <w:color w:val="auto"/>
          <w:spacing w:val="1"/>
          <w:sz w:val="32"/>
          <w:szCs w:val="32"/>
          <w:lang w:eastAsia="zh-CN"/>
        </w:rPr>
      </w:pPr>
      <w:r>
        <w:rPr>
          <w:rFonts w:hint="eastAsia" w:ascii="仿宋" w:hAnsi="仿宋" w:eastAsia="仿宋" w:cs="仿宋"/>
          <w:b w:val="0"/>
          <w:bCs w:val="0"/>
          <w:color w:val="auto"/>
          <w:spacing w:val="0"/>
          <w:sz w:val="32"/>
          <w:szCs w:val="32"/>
          <w:highlight w:val="none"/>
          <w:lang w:eastAsia="zh-CN"/>
        </w:rPr>
        <w:t>附件：向阳区安全生产和防灾减灾救灾委员会体系图</w:t>
      </w:r>
    </w:p>
    <w:p w14:paraId="332D28FE">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outlineLvl w:val="1"/>
        <w:rPr>
          <w:rFonts w:hint="eastAsia" w:ascii="黑体" w:hAnsi="黑体" w:eastAsia="黑体" w:cs="黑体"/>
          <w:b w:val="0"/>
          <w:bCs w:val="0"/>
          <w:color w:val="auto"/>
          <w:spacing w:val="-3"/>
          <w:sz w:val="32"/>
          <w:szCs w:val="32"/>
          <w:highlight w:val="none"/>
          <w:lang w:val="en-US" w:eastAsia="zh-CN"/>
        </w:rPr>
      </w:pPr>
      <w:bookmarkStart w:id="37" w:name="_Toc18273"/>
    </w:p>
    <w:p w14:paraId="0F2B42DF">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outlineLvl w:val="1"/>
        <w:rPr>
          <w:rFonts w:hint="eastAsia" w:ascii="黑体" w:hAnsi="黑体" w:eastAsia="黑体" w:cs="黑体"/>
          <w:b w:val="0"/>
          <w:bCs w:val="0"/>
          <w:color w:val="auto"/>
          <w:spacing w:val="-3"/>
          <w:sz w:val="32"/>
          <w:szCs w:val="32"/>
          <w:highlight w:val="none"/>
          <w:lang w:val="en-US" w:eastAsia="zh-CN"/>
        </w:rPr>
      </w:pPr>
    </w:p>
    <w:p w14:paraId="2AF37F8B">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outlineLvl w:val="1"/>
        <w:rPr>
          <w:rFonts w:hint="eastAsia" w:ascii="黑体" w:hAnsi="黑体" w:eastAsia="黑体" w:cs="黑体"/>
          <w:b w:val="0"/>
          <w:bCs w:val="0"/>
          <w:color w:val="auto"/>
          <w:spacing w:val="-3"/>
          <w:sz w:val="32"/>
          <w:szCs w:val="32"/>
          <w:highlight w:val="none"/>
          <w:lang w:val="en-US" w:eastAsia="zh-CN"/>
        </w:rPr>
      </w:pPr>
    </w:p>
    <w:p w14:paraId="270DE0EA">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outlineLvl w:val="1"/>
        <w:rPr>
          <w:rFonts w:hint="eastAsia" w:ascii="黑体" w:hAnsi="黑体" w:eastAsia="黑体" w:cs="黑体"/>
          <w:b w:val="0"/>
          <w:bCs w:val="0"/>
          <w:color w:val="auto"/>
          <w:spacing w:val="-3"/>
          <w:sz w:val="32"/>
          <w:szCs w:val="32"/>
          <w:highlight w:val="none"/>
          <w:lang w:val="en-US" w:eastAsia="zh-CN"/>
        </w:rPr>
      </w:pPr>
    </w:p>
    <w:p w14:paraId="0D7CE7A8">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outlineLvl w:val="1"/>
        <w:rPr>
          <w:rFonts w:hint="eastAsia" w:ascii="黑体" w:hAnsi="黑体" w:eastAsia="黑体" w:cs="黑体"/>
          <w:b w:val="0"/>
          <w:bCs w:val="0"/>
          <w:color w:val="auto"/>
          <w:spacing w:val="-3"/>
          <w:sz w:val="32"/>
          <w:szCs w:val="32"/>
          <w:highlight w:val="none"/>
          <w:lang w:val="en-US" w:eastAsia="zh-CN"/>
        </w:rPr>
      </w:pPr>
    </w:p>
    <w:p w14:paraId="35711E84">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outlineLvl w:val="1"/>
        <w:rPr>
          <w:rFonts w:hint="eastAsia" w:ascii="黑体" w:hAnsi="黑体" w:eastAsia="黑体" w:cs="黑体"/>
          <w:b w:val="0"/>
          <w:bCs w:val="0"/>
          <w:color w:val="auto"/>
          <w:spacing w:val="-3"/>
          <w:sz w:val="32"/>
          <w:szCs w:val="32"/>
          <w:highlight w:val="none"/>
          <w:lang w:val="en-US" w:eastAsia="zh-CN"/>
        </w:rPr>
      </w:pPr>
    </w:p>
    <w:p w14:paraId="012E620D">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outlineLvl w:val="1"/>
        <w:rPr>
          <w:rFonts w:hint="eastAsia" w:ascii="黑体" w:hAnsi="黑体" w:eastAsia="黑体" w:cs="黑体"/>
          <w:b w:val="0"/>
          <w:bCs w:val="0"/>
          <w:color w:val="auto"/>
          <w:spacing w:val="-3"/>
          <w:sz w:val="32"/>
          <w:szCs w:val="32"/>
          <w:highlight w:val="none"/>
          <w:lang w:val="en-US" w:eastAsia="zh-CN"/>
        </w:rPr>
      </w:pPr>
    </w:p>
    <w:p w14:paraId="05869ECB">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outlineLvl w:val="1"/>
        <w:rPr>
          <w:rFonts w:hint="eastAsia" w:ascii="黑体" w:hAnsi="黑体" w:eastAsia="黑体" w:cs="黑体"/>
          <w:b w:val="0"/>
          <w:bCs w:val="0"/>
          <w:color w:val="auto"/>
          <w:spacing w:val="-3"/>
          <w:sz w:val="32"/>
          <w:szCs w:val="32"/>
          <w:highlight w:val="none"/>
          <w:lang w:val="en-US" w:eastAsia="zh-CN"/>
        </w:rPr>
      </w:pPr>
    </w:p>
    <w:p w14:paraId="0ACFB005">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outlineLvl w:val="1"/>
        <w:rPr>
          <w:rFonts w:hint="eastAsia" w:ascii="黑体" w:hAnsi="黑体" w:eastAsia="黑体" w:cs="黑体"/>
          <w:b w:val="0"/>
          <w:bCs w:val="0"/>
          <w:color w:val="auto"/>
          <w:spacing w:val="-3"/>
          <w:sz w:val="32"/>
          <w:szCs w:val="32"/>
          <w:highlight w:val="none"/>
          <w:lang w:val="en-US" w:eastAsia="zh-CN"/>
        </w:rPr>
      </w:pPr>
    </w:p>
    <w:p w14:paraId="77806F4A">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outlineLvl w:val="1"/>
        <w:rPr>
          <w:rFonts w:hint="eastAsia" w:ascii="黑体" w:hAnsi="黑体" w:eastAsia="黑体" w:cs="黑体"/>
          <w:b w:val="0"/>
          <w:bCs w:val="0"/>
          <w:color w:val="auto"/>
          <w:spacing w:val="-3"/>
          <w:sz w:val="32"/>
          <w:szCs w:val="32"/>
          <w:highlight w:val="none"/>
          <w:lang w:val="en-US" w:eastAsia="zh-CN"/>
        </w:rPr>
      </w:pPr>
    </w:p>
    <w:p w14:paraId="26A96969">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outlineLvl w:val="1"/>
        <w:rPr>
          <w:rFonts w:hint="eastAsia" w:ascii="黑体" w:hAnsi="黑体" w:eastAsia="黑体" w:cs="黑体"/>
          <w:b w:val="0"/>
          <w:bCs w:val="0"/>
          <w:color w:val="auto"/>
          <w:spacing w:val="-3"/>
          <w:sz w:val="32"/>
          <w:szCs w:val="32"/>
          <w:highlight w:val="none"/>
          <w:lang w:val="en-US" w:eastAsia="zh-CN"/>
        </w:rPr>
      </w:pPr>
    </w:p>
    <w:p w14:paraId="2BDFBAEF">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outlineLvl w:val="1"/>
        <w:rPr>
          <w:rFonts w:hint="default" w:ascii="黑体" w:hAnsi="黑体" w:eastAsia="黑体" w:cs="黑体"/>
          <w:b w:val="0"/>
          <w:bCs w:val="0"/>
          <w:color w:val="auto"/>
          <w:spacing w:val="-3"/>
          <w:sz w:val="32"/>
          <w:szCs w:val="32"/>
          <w:highlight w:val="none"/>
          <w:lang w:val="en-US" w:eastAsia="zh-CN"/>
        </w:rPr>
      </w:pPr>
      <w:r>
        <w:rPr>
          <w:rFonts w:hint="eastAsia" w:ascii="黑体" w:hAnsi="黑体" w:eastAsia="黑体" w:cs="黑体"/>
          <w:b w:val="0"/>
          <w:bCs w:val="0"/>
          <w:color w:val="auto"/>
          <w:spacing w:val="-3"/>
          <w:sz w:val="32"/>
          <w:szCs w:val="32"/>
          <w:highlight w:val="none"/>
          <w:lang w:val="en-US" w:eastAsia="zh-CN"/>
        </w:rPr>
        <w:t>附件</w:t>
      </w:r>
      <w:bookmarkEnd w:id="37"/>
    </w:p>
    <w:p w14:paraId="078B6F64">
      <w:pPr>
        <w:keepNext w:val="0"/>
        <w:keepLines w:val="0"/>
        <w:pageBreakBefore w:val="0"/>
        <w:widowControl/>
        <w:kinsoku w:val="0"/>
        <w:wordWrap/>
        <w:overflowPunct/>
        <w:topLinePunct w:val="0"/>
        <w:autoSpaceDE w:val="0"/>
        <w:autoSpaceDN w:val="0"/>
        <w:bidi w:val="0"/>
        <w:adjustRightInd w:val="0"/>
        <w:snapToGrid w:val="0"/>
        <w:spacing w:line="560" w:lineRule="exact"/>
        <w:ind w:firstLine="628" w:firstLineChars="200"/>
        <w:jc w:val="left"/>
        <w:textAlignment w:val="baseline"/>
        <w:outlineLvl w:val="1"/>
        <w:rPr>
          <w:rFonts w:hint="eastAsia" w:ascii="黑体" w:hAnsi="黑体" w:eastAsia="黑体" w:cs="黑体"/>
          <w:b w:val="0"/>
          <w:bCs w:val="0"/>
          <w:color w:val="auto"/>
          <w:spacing w:val="-3"/>
          <w:sz w:val="32"/>
          <w:szCs w:val="32"/>
          <w:highlight w:val="none"/>
          <w:lang w:val="en-US" w:eastAsia="zh-CN"/>
        </w:rPr>
      </w:pPr>
    </w:p>
    <w:p w14:paraId="720B7114">
      <w:pPr>
        <w:pStyle w:val="3"/>
        <w:spacing w:line="461" w:lineRule="auto"/>
        <w:jc w:val="center"/>
        <w:rPr>
          <w:rFonts w:ascii="Times New Roman" w:hAnsi="Times New Roman" w:cs="Times New Roman"/>
          <w:color w:val="auto"/>
          <w:lang w:eastAsia="zh-CN"/>
        </w:rPr>
      </w:pPr>
      <w:r>
        <w:rPr>
          <w:rFonts w:hint="eastAsia" w:ascii="方正小标宋简体" w:hAnsi="方正小标宋简体" w:eastAsia="方正小标宋简体" w:cs="方正小标宋简体"/>
          <w:b w:val="0"/>
          <w:bCs w:val="0"/>
          <w:color w:val="auto"/>
          <w:spacing w:val="-3"/>
          <w:sz w:val="44"/>
          <w:szCs w:val="44"/>
          <w:highlight w:val="none"/>
          <w:lang w:eastAsia="zh-CN"/>
        </w:rPr>
        <w:t>向阳区安全生产和防灾减灾救灾委员会体系图</w:t>
      </w:r>
    </w:p>
    <w:p w14:paraId="2F975D63">
      <w:pPr>
        <w:pStyle w:val="3"/>
        <w:rPr>
          <w:rFonts w:ascii="Times New Roman" w:hAnsi="Times New Roman" w:cs="Times New Roman"/>
          <w:color w:val="auto"/>
          <w:lang w:eastAsia="zh-CN"/>
        </w:rPr>
      </w:pPr>
      <w:r>
        <w:rPr>
          <w:color w:val="auto"/>
          <w:sz w:val="21"/>
        </w:rPr>
        <mc:AlternateContent>
          <mc:Choice Requires="wps">
            <w:drawing>
              <wp:anchor distT="0" distB="0" distL="114300" distR="114300" simplePos="0" relativeHeight="251659264" behindDoc="0" locked="0" layoutInCell="1" allowOverlap="1">
                <wp:simplePos x="0" y="0"/>
                <wp:positionH relativeFrom="column">
                  <wp:posOffset>513080</wp:posOffset>
                </wp:positionH>
                <wp:positionV relativeFrom="paragraph">
                  <wp:posOffset>75565</wp:posOffset>
                </wp:positionV>
                <wp:extent cx="3662680" cy="437515"/>
                <wp:effectExtent l="4445" t="4445" r="5715" b="15240"/>
                <wp:wrapNone/>
                <wp:docPr id="1" name="文本框 1"/>
                <wp:cNvGraphicFramePr/>
                <a:graphic xmlns:a="http://schemas.openxmlformats.org/drawingml/2006/main">
                  <a:graphicData uri="http://schemas.microsoft.com/office/word/2010/wordprocessingShape">
                    <wps:wsp>
                      <wps:cNvSpPr txBox="1"/>
                      <wps:spPr>
                        <a:xfrm>
                          <a:off x="1974850" y="2501900"/>
                          <a:ext cx="3662680" cy="4375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764BBC6">
                            <w:pPr>
                              <w:jc w:val="center"/>
                              <w:rPr>
                                <w:rFonts w:hint="eastAsia" w:eastAsia="宋体"/>
                                <w:sz w:val="32"/>
                                <w:szCs w:val="32"/>
                                <w:lang w:eastAsia="zh-CN"/>
                              </w:rPr>
                            </w:pPr>
                            <w:r>
                              <w:rPr>
                                <w:rFonts w:hint="eastAsia" w:eastAsia="宋体"/>
                                <w:sz w:val="32"/>
                                <w:szCs w:val="32"/>
                                <w:lang w:eastAsia="zh-CN"/>
                              </w:rPr>
                              <w:t>国务院安全生产和防灾减灾救灾委员会会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4pt;margin-top:5.95pt;height:34.45pt;width:288.4pt;z-index:251659264;mso-width-relative:page;mso-height-relative:page;" fillcolor="#FFFFFF [3201]" filled="t" stroked="t" coordsize="21600,21600" o:gfxdata="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10;k5Vo1AAAAAgBAAAPAAAAAAAAAAEAIAAAACIAAABkcnMvZG93bnJldi54bWxQSwECFAAUAAAACACH&#10;TuJA+Vc3cmECAADDBAAADgAAAAAAAAABACAAAAAjAQAAZHJzL2Uyb0RvYy54bWxQSwUGAAAAAAYA&#10;BgBZAQAA9gUAAAAA&#10;">
                <v:fill on="t" focussize="0,0"/>
                <v:stroke weight="0.5pt" color="#000000 [3204]" joinstyle="round"/>
                <v:imagedata o:title=""/>
                <o:lock v:ext="edit" aspectratio="f"/>
                <v:textbox>
                  <w:txbxContent>
                    <w:p w14:paraId="1764BBC6">
                      <w:pPr>
                        <w:jc w:val="center"/>
                        <w:rPr>
                          <w:rFonts w:hint="eastAsia" w:eastAsia="宋体"/>
                          <w:sz w:val="32"/>
                          <w:szCs w:val="32"/>
                          <w:lang w:eastAsia="zh-CN"/>
                        </w:rPr>
                      </w:pPr>
                      <w:r>
                        <w:rPr>
                          <w:rFonts w:hint="eastAsia" w:eastAsia="宋体"/>
                          <w:sz w:val="32"/>
                          <w:szCs w:val="32"/>
                          <w:lang w:eastAsia="zh-CN"/>
                        </w:rPr>
                        <w:t>国务院安全生产和防灾减灾救灾委员会会</w:t>
                      </w:r>
                    </w:p>
                  </w:txbxContent>
                </v:textbox>
              </v:shape>
            </w:pict>
          </mc:Fallback>
        </mc:AlternateContent>
      </w:r>
      <w:r>
        <w:rPr>
          <w:color w:val="auto"/>
          <w:sz w:val="21"/>
        </w:rPr>
        <mc:AlternateContent>
          <mc:Choice Requires="wps">
            <w:drawing>
              <wp:anchor distT="0" distB="0" distL="114300" distR="114300" simplePos="0" relativeHeight="251665408" behindDoc="0" locked="0" layoutInCell="1" allowOverlap="1">
                <wp:simplePos x="0" y="0"/>
                <wp:positionH relativeFrom="column">
                  <wp:posOffset>4166235</wp:posOffset>
                </wp:positionH>
                <wp:positionV relativeFrom="paragraph">
                  <wp:posOffset>3362325</wp:posOffset>
                </wp:positionV>
                <wp:extent cx="1776095" cy="902335"/>
                <wp:effectExtent l="4445" t="4445" r="10160" b="7620"/>
                <wp:wrapNone/>
                <wp:docPr id="8" name="文本框 8"/>
                <wp:cNvGraphicFramePr/>
                <a:graphic xmlns:a="http://schemas.openxmlformats.org/drawingml/2006/main">
                  <a:graphicData uri="http://schemas.microsoft.com/office/word/2010/wordprocessingShape">
                    <wps:wsp>
                      <wps:cNvSpPr txBox="1"/>
                      <wps:spPr>
                        <a:xfrm>
                          <a:off x="5946140" y="5861685"/>
                          <a:ext cx="1776095" cy="9023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0F4563F">
                            <w:pPr>
                              <w:jc w:val="center"/>
                              <w:rPr>
                                <w:rFonts w:hint="eastAsia" w:eastAsia="宋体"/>
                                <w:sz w:val="32"/>
                                <w:szCs w:val="32"/>
                                <w:highlight w:val="none"/>
                                <w:lang w:eastAsia="zh-CN"/>
                              </w:rPr>
                            </w:pPr>
                            <w:r>
                              <w:rPr>
                                <w:rFonts w:hint="eastAsia" w:eastAsia="宋体"/>
                                <w:color w:val="auto"/>
                                <w:sz w:val="32"/>
                                <w:szCs w:val="32"/>
                                <w:highlight w:val="none"/>
                                <w:lang w:val="en-US" w:eastAsia="zh-CN"/>
                              </w:rPr>
                              <w:t>向阳</w:t>
                            </w:r>
                            <w:r>
                              <w:rPr>
                                <w:rFonts w:hint="eastAsia" w:eastAsia="宋体"/>
                                <w:color w:val="auto"/>
                                <w:sz w:val="32"/>
                                <w:szCs w:val="32"/>
                                <w:highlight w:val="none"/>
                                <w:lang w:eastAsia="zh-CN"/>
                              </w:rPr>
                              <w:t>区安全生产和防灾减灾救灾委员会办公室</w:t>
                            </w:r>
                          </w:p>
                          <w:p w14:paraId="0CAB561F">
                            <w:pPr>
                              <w:jc w:val="center"/>
                              <w:rPr>
                                <w:rFonts w:hint="eastAsia" w:eastAsia="宋体"/>
                                <w:sz w:val="32"/>
                                <w:szCs w:val="32"/>
                                <w:highlight w:val="yellow"/>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8.05pt;margin-top:264.75pt;height:71.05pt;width:139.85pt;z-index:251665408;mso-width-relative:page;mso-height-relative:page;" fillcolor="#FFFFFF [3201]" filled="t" stroked="t" coordsize="21600,21600" o:gfxdata="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9BQdLNcAAAALAQAADwAAAAAAAAABACAAAAAiAAAAZHJzL2Rvd25yZXYueG1sUEsBAhQA&#10;FAAAAAgAh07iQPxF86tlAgAAwwQAAA4AAAAAAAAAAQAgAAAAJgEAAGRycy9lMm9Eb2MueG1sUEsF&#10;BgAAAAAGAAYAWQEAAP0FAAAAAA==&#10;">
                <v:fill on="t" focussize="0,0"/>
                <v:stroke weight="0.5pt" color="#000000 [3204]" joinstyle="round"/>
                <v:imagedata o:title=""/>
                <o:lock v:ext="edit" aspectratio="f"/>
                <v:textbox>
                  <w:txbxContent>
                    <w:p w14:paraId="10F4563F">
                      <w:pPr>
                        <w:jc w:val="center"/>
                        <w:rPr>
                          <w:rFonts w:hint="eastAsia" w:eastAsia="宋体"/>
                          <w:sz w:val="32"/>
                          <w:szCs w:val="32"/>
                          <w:highlight w:val="none"/>
                          <w:lang w:eastAsia="zh-CN"/>
                        </w:rPr>
                      </w:pPr>
                      <w:r>
                        <w:rPr>
                          <w:rFonts w:hint="eastAsia" w:eastAsia="宋体"/>
                          <w:color w:val="auto"/>
                          <w:sz w:val="32"/>
                          <w:szCs w:val="32"/>
                          <w:highlight w:val="none"/>
                          <w:lang w:val="en-US" w:eastAsia="zh-CN"/>
                        </w:rPr>
                        <w:t>向阳</w:t>
                      </w:r>
                      <w:r>
                        <w:rPr>
                          <w:rFonts w:hint="eastAsia" w:eastAsia="宋体"/>
                          <w:color w:val="auto"/>
                          <w:sz w:val="32"/>
                          <w:szCs w:val="32"/>
                          <w:highlight w:val="none"/>
                          <w:lang w:eastAsia="zh-CN"/>
                        </w:rPr>
                        <w:t>区安全生产和防灾减灾救灾委员会办公室</w:t>
                      </w:r>
                    </w:p>
                    <w:p w14:paraId="0CAB561F">
                      <w:pPr>
                        <w:jc w:val="center"/>
                        <w:rPr>
                          <w:rFonts w:hint="eastAsia" w:eastAsia="宋体"/>
                          <w:sz w:val="32"/>
                          <w:szCs w:val="32"/>
                          <w:highlight w:val="yellow"/>
                          <w:lang w:val="en-US" w:eastAsia="zh-CN"/>
                        </w:rPr>
                      </w:pPr>
                    </w:p>
                  </w:txbxContent>
                </v:textbox>
              </v:shape>
            </w:pict>
          </mc:Fallback>
        </mc:AlternateContent>
      </w:r>
      <w:r>
        <w:rPr>
          <w:color w:val="auto"/>
          <w:sz w:val="21"/>
        </w:rPr>
        <mc:AlternateContent>
          <mc:Choice Requires="wps">
            <w:drawing>
              <wp:anchor distT="0" distB="0" distL="114300" distR="114300" simplePos="0" relativeHeight="251671552" behindDoc="0" locked="0" layoutInCell="1" allowOverlap="1">
                <wp:simplePos x="0" y="0"/>
                <wp:positionH relativeFrom="column">
                  <wp:posOffset>2311400</wp:posOffset>
                </wp:positionH>
                <wp:positionV relativeFrom="paragraph">
                  <wp:posOffset>3653790</wp:posOffset>
                </wp:positionV>
                <wp:extent cx="1854835" cy="7620"/>
                <wp:effectExtent l="0" t="6350" r="4445" b="8890"/>
                <wp:wrapNone/>
                <wp:docPr id="14" name="直接连接符 14"/>
                <wp:cNvGraphicFramePr/>
                <a:graphic xmlns:a="http://schemas.openxmlformats.org/drawingml/2006/main">
                  <a:graphicData uri="http://schemas.microsoft.com/office/word/2010/wordprocessingShape">
                    <wps:wsp>
                      <wps:cNvCnPr/>
                      <wps:spPr>
                        <a:xfrm flipV="1">
                          <a:off x="3251200" y="6019165"/>
                          <a:ext cx="1854835" cy="762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82pt;margin-top:287.7pt;height:0.6pt;width:146.05pt;z-index:251671552;mso-width-relative:page;mso-height-relative:page;" filled="f" stroked="t" coordsize="21600,21600" o:gfxdata="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lT7TNoAAAALAQAADwAAAAAAAAABACAAAAAiAAAAZHJzL2Rvd25yZXYueG1sUEsB&#10;AhQAFAAAAAgAh07iQHjVbRDzAQAAtgMAAA4AAAAAAAAAAQAgAAAAKQEAAGRycy9lMm9Eb2MueG1s&#10;UEsFBgAAAAAGAAYAWQEAAI4FAAAAAA==&#10;">
                <v:fill on="f" focussize="0,0"/>
                <v:stroke weight="1pt" color="#000000 [3213]" joinstyle="round"/>
                <v:imagedata o:title=""/>
                <o:lock v:ext="edit" aspectratio="f"/>
              </v:line>
            </w:pict>
          </mc:Fallback>
        </mc:AlternateContent>
      </w:r>
      <w:r>
        <w:rPr>
          <w:color w:val="auto"/>
          <w:sz w:val="21"/>
        </w:rPr>
        <mc:AlternateContent>
          <mc:Choice Requires="wps">
            <w:drawing>
              <wp:anchor distT="0" distB="0" distL="114300" distR="114300" simplePos="0" relativeHeight="251670528" behindDoc="0" locked="0" layoutInCell="1" allowOverlap="1">
                <wp:simplePos x="0" y="0"/>
                <wp:positionH relativeFrom="column">
                  <wp:posOffset>2306320</wp:posOffset>
                </wp:positionH>
                <wp:positionV relativeFrom="paragraph">
                  <wp:posOffset>4806315</wp:posOffset>
                </wp:positionV>
                <wp:extent cx="0" cy="515620"/>
                <wp:effectExtent l="6350" t="0" r="8890" b="2540"/>
                <wp:wrapNone/>
                <wp:docPr id="13" name="直接连接符 13"/>
                <wp:cNvGraphicFramePr/>
                <a:graphic xmlns:a="http://schemas.openxmlformats.org/drawingml/2006/main">
                  <a:graphicData uri="http://schemas.microsoft.com/office/word/2010/wordprocessingShape">
                    <wps:wsp>
                      <wps:cNvCnPr/>
                      <wps:spPr>
                        <a:xfrm>
                          <a:off x="0" y="0"/>
                          <a:ext cx="0" cy="51562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81.6pt;margin-top:378.45pt;height:40.6pt;width:0pt;z-index:251670528;mso-width-relative:page;mso-height-relative:page;" filled="f" stroked="t" coordsize="21600,21600" o:gfxdata="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stL2M2QAAAAsBAAAPAAAAAAAA&#10;AAEAIAAAACIAAABkcnMvZG93bnJldi54bWxQSwECFAAUAAAACACHTuJAhdY/79gBAACcAwAADgAA&#10;AAAAAAABACAAAAAoAQAAZHJzL2Uyb0RvYy54bWxQSwUGAAAAAAYABgBZAQAAcgUAAAAA&#10;">
                <v:fill on="f" focussize="0,0"/>
                <v:stroke weight="1pt" color="#000000 [3213]" joinstyle="round"/>
                <v:imagedata o:title=""/>
                <o:lock v:ext="edit" aspectratio="f"/>
              </v:line>
            </w:pict>
          </mc:Fallback>
        </mc:AlternateContent>
      </w:r>
      <w:r>
        <w:rPr>
          <w:color w:val="auto"/>
          <w:sz w:val="21"/>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3347085</wp:posOffset>
                </wp:positionV>
                <wp:extent cx="0" cy="543560"/>
                <wp:effectExtent l="6350" t="0" r="8890" b="5080"/>
                <wp:wrapNone/>
                <wp:docPr id="12" name="直接连接符 12"/>
                <wp:cNvGraphicFramePr/>
                <a:graphic xmlns:a="http://schemas.openxmlformats.org/drawingml/2006/main">
                  <a:graphicData uri="http://schemas.microsoft.com/office/word/2010/wordprocessingShape">
                    <wps:wsp>
                      <wps:cNvCnPr/>
                      <wps:spPr>
                        <a:xfrm>
                          <a:off x="0" y="0"/>
                          <a:ext cx="0" cy="54356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81.6pt;margin-top:263.55pt;height:42.8pt;width:0pt;z-index:251669504;mso-width-relative:page;mso-height-relative:page;" filled="f" stroked="t" coordsize="21600,21600" o:gfxdata="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EkGo/ZAAAACwEAAA8AAAAAAAAA&#10;AQAgAAAAIgAAAGRycy9kb3ducmV2LnhtbFBLAQIUABQAAAAIAIdO4kAcXuHX1wEAAJwDAAAOAAAA&#10;AAAAAAEAIAAAACgBAABkcnMvZTJvRG9jLnhtbFBLBQYAAAAABgAGAFkBAABxBQAAAAA=&#10;">
                <v:fill on="f" focussize="0,0"/>
                <v:stroke weight="1pt" color="#000000 [3213]" joinstyle="round"/>
                <v:imagedata o:title=""/>
                <o:lock v:ext="edit" aspectratio="f"/>
              </v:line>
            </w:pict>
          </mc:Fallback>
        </mc:AlternateContent>
      </w:r>
      <w:r>
        <w:rPr>
          <w:color w:val="auto"/>
          <w:sz w:val="21"/>
        </w:rPr>
        <mc:AlternateContent>
          <mc:Choice Requires="wps">
            <w:drawing>
              <wp:anchor distT="0" distB="0" distL="114300" distR="114300" simplePos="0" relativeHeight="251668480" behindDoc="0" locked="0" layoutInCell="1" allowOverlap="1">
                <wp:simplePos x="0" y="0"/>
                <wp:positionH relativeFrom="column">
                  <wp:posOffset>2306320</wp:posOffset>
                </wp:positionH>
                <wp:positionV relativeFrom="paragraph">
                  <wp:posOffset>2379980</wp:posOffset>
                </wp:positionV>
                <wp:extent cx="0" cy="367665"/>
                <wp:effectExtent l="6350" t="0" r="8890" b="13335"/>
                <wp:wrapNone/>
                <wp:docPr id="11" name="直接连接符 11"/>
                <wp:cNvGraphicFramePr/>
                <a:graphic xmlns:a="http://schemas.openxmlformats.org/drawingml/2006/main">
                  <a:graphicData uri="http://schemas.microsoft.com/office/word/2010/wordprocessingShape">
                    <wps:wsp>
                      <wps:cNvCnPr/>
                      <wps:spPr>
                        <a:xfrm>
                          <a:off x="0" y="0"/>
                          <a:ext cx="0" cy="367665"/>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81.6pt;margin-top:187.4pt;height:28.95pt;width:0pt;z-index:251668480;mso-width-relative:page;mso-height-relative:page;" filled="f" stroked="t" coordsize="21600,21600" o:gfxdata="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YUla7aAAAACwEAAA8AAAAAAAAA&#10;AQAgAAAAIgAAAGRycy9kb3ducmV2LnhtbFBLAQIUABQAAAAIAIdO4kByjoPE1gEAAJwDAAAOAAAA&#10;AAAAAAEAIAAAACkBAABkcnMvZTJvRG9jLnhtbFBLBQYAAAAABgAGAFkBAABxBQAAAAA=&#10;">
                <v:fill on="f" focussize="0,0"/>
                <v:stroke weight="1pt" color="#000000 [3213]" joinstyle="round"/>
                <v:imagedata o:title=""/>
                <o:lock v:ext="edit" aspectratio="f"/>
              </v:line>
            </w:pict>
          </mc:Fallback>
        </mc:AlternateContent>
      </w:r>
      <w:r>
        <w:rPr>
          <w:color w:val="auto"/>
          <w:sz w:val="21"/>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1482725</wp:posOffset>
                </wp:positionV>
                <wp:extent cx="0" cy="309245"/>
                <wp:effectExtent l="6350" t="0" r="8890" b="10795"/>
                <wp:wrapNone/>
                <wp:docPr id="10" name="直接连接符 10"/>
                <wp:cNvGraphicFramePr/>
                <a:graphic xmlns:a="http://schemas.openxmlformats.org/drawingml/2006/main">
                  <a:graphicData uri="http://schemas.microsoft.com/office/word/2010/wordprocessingShape">
                    <wps:wsp>
                      <wps:cNvCnPr/>
                      <wps:spPr>
                        <a:xfrm>
                          <a:off x="0" y="0"/>
                          <a:ext cx="0" cy="309245"/>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81.6pt;margin-top:116.75pt;height:24.35pt;width:0pt;z-index:251667456;mso-width-relative:page;mso-height-relative:page;" filled="f" stroked="t" coordsize="21600,21600" o:gfxdata="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KeNO1tgAAAALAQAADwAAAAAAAAABACAA&#10;AAAiAAAAZHJzL2Rvd25yZXYueG1sUEsBAhQAFAAAAAgAh07iQBlVvfPUAQAAnAMAAA4AAAAAAAAA&#10;AQAgAAAAJwEAAGRycy9lMm9Eb2MueG1sUEsFBgAAAAAGAAYAWQEAAG0FAAAAAA==&#10;">
                <v:fill on="f" focussize="0,0"/>
                <v:stroke weight="1pt" color="#000000 [3213]" joinstyle="round"/>
                <v:imagedata o:title=""/>
                <o:lock v:ext="edit" aspectratio="f"/>
              </v:line>
            </w:pict>
          </mc:Fallback>
        </mc:AlternateContent>
      </w:r>
      <w:r>
        <w:rPr>
          <w:color w:val="auto"/>
          <w:sz w:val="21"/>
        </w:rPr>
        <mc:AlternateContent>
          <mc:Choice Requires="wps">
            <w:drawing>
              <wp:anchor distT="0" distB="0" distL="114300" distR="114300" simplePos="0" relativeHeight="251666432" behindDoc="0" locked="0" layoutInCell="1" allowOverlap="1">
                <wp:simplePos x="0" y="0"/>
                <wp:positionH relativeFrom="column">
                  <wp:posOffset>2306320</wp:posOffset>
                </wp:positionH>
                <wp:positionV relativeFrom="paragraph">
                  <wp:posOffset>513080</wp:posOffset>
                </wp:positionV>
                <wp:extent cx="0" cy="309245"/>
                <wp:effectExtent l="6350" t="0" r="8890" b="10795"/>
                <wp:wrapNone/>
                <wp:docPr id="9" name="直接连接符 9"/>
                <wp:cNvGraphicFramePr/>
                <a:graphic xmlns:a="http://schemas.openxmlformats.org/drawingml/2006/main">
                  <a:graphicData uri="http://schemas.microsoft.com/office/word/2010/wordprocessingShape">
                    <wps:wsp>
                      <wps:cNvCnPr/>
                      <wps:spPr>
                        <a:xfrm>
                          <a:off x="3223260" y="2878455"/>
                          <a:ext cx="0" cy="309245"/>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81.6pt;margin-top:40.4pt;height:24.35pt;width:0pt;z-index:251666432;mso-width-relative:page;mso-height-relative:page;" filled="f" stroked="t" coordsize="21600,21600" o:gfxdata="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HlOpI2AAA&#10;AAoBAAAPAAAAAAAAAAEAIAAAACIAAABkcnMvZG93bnJldi54bWxQSwECFAAUAAAACACHTuJAFIPM&#10;ReUBAACmAwAADgAAAAAAAAABACAAAAAnAQAAZHJzL2Uyb0RvYy54bWxQSwUGAAAAAAYABgBZAQAA&#10;fgUAAAAA&#10;">
                <v:fill on="f" focussize="0,0"/>
                <v:stroke weight="1pt" color="#000000 [3213]" joinstyle="round"/>
                <v:imagedata o:title=""/>
                <o:lock v:ext="edit" aspectratio="f"/>
              </v:line>
            </w:pict>
          </mc:Fallback>
        </mc:AlternateContent>
      </w:r>
      <w:r>
        <w:rPr>
          <w:color w:val="auto"/>
          <w:sz w:val="21"/>
        </w:rPr>
        <mc:AlternateContent>
          <mc:Choice Requires="wps">
            <w:drawing>
              <wp:anchor distT="0" distB="0" distL="114300" distR="114300" simplePos="0" relativeHeight="251662336" behindDoc="0" locked="0" layoutInCell="1" allowOverlap="1">
                <wp:simplePos x="0" y="0"/>
                <wp:positionH relativeFrom="column">
                  <wp:posOffset>521335</wp:posOffset>
                </wp:positionH>
                <wp:positionV relativeFrom="paragraph">
                  <wp:posOffset>2747645</wp:posOffset>
                </wp:positionV>
                <wp:extent cx="3549650" cy="599440"/>
                <wp:effectExtent l="4445" t="4445" r="12065" b="5715"/>
                <wp:wrapNone/>
                <wp:docPr id="4" name="文本框 4"/>
                <wp:cNvGraphicFramePr/>
                <a:graphic xmlns:a="http://schemas.openxmlformats.org/drawingml/2006/main">
                  <a:graphicData uri="http://schemas.microsoft.com/office/word/2010/wordprocessingShape">
                    <wps:wsp>
                      <wps:cNvSpPr txBox="1"/>
                      <wps:spPr>
                        <a:xfrm>
                          <a:off x="0" y="0"/>
                          <a:ext cx="3549650" cy="5994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9B84099">
                            <w:pPr>
                              <w:jc w:val="center"/>
                              <w:rPr>
                                <w:rFonts w:hint="eastAsia" w:eastAsia="宋体"/>
                                <w:sz w:val="32"/>
                                <w:szCs w:val="32"/>
                                <w:highlight w:val="none"/>
                                <w:lang w:eastAsia="zh-CN"/>
                              </w:rPr>
                            </w:pPr>
                            <w:r>
                              <w:rPr>
                                <w:rFonts w:hint="eastAsia" w:eastAsia="宋体"/>
                                <w:color w:val="auto"/>
                                <w:sz w:val="32"/>
                                <w:szCs w:val="32"/>
                                <w:highlight w:val="none"/>
                                <w:lang w:eastAsia="zh-CN"/>
                              </w:rPr>
                              <w:t>向阳区安全生产和</w:t>
                            </w:r>
                            <w:r>
                              <w:rPr>
                                <w:rFonts w:hint="eastAsia" w:eastAsia="宋体"/>
                                <w:sz w:val="32"/>
                                <w:szCs w:val="32"/>
                                <w:highlight w:val="none"/>
                                <w:lang w:eastAsia="zh-CN"/>
                              </w:rPr>
                              <w:t>防灾减灾救灾委员会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05pt;margin-top:216.35pt;height:47.2pt;width:279.5pt;z-index:251662336;mso-width-relative:page;mso-height-relative:page;" fillcolor="#FFFFFF [3201]" filled="t" stroked="t" coordsize="21600,21600" o:gfxdata="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Da4ol1wAA&#10;AAoBAAAPAAAAAAAAAAEAIAAAACIAAABkcnMvZG93bnJldi54bWxQSwECFAAUAAAACACHTuJAt0Yj&#10;3FgCAAC3BAAADgAAAAAAAAABACAAAAAmAQAAZHJzL2Uyb0RvYy54bWxQSwUGAAAAAAYABgBZAQAA&#10;8AUAAAAA&#10;">
                <v:fill on="t" focussize="0,0"/>
                <v:stroke weight="0.5pt" color="#000000 [3204]" joinstyle="round"/>
                <v:imagedata o:title=""/>
                <o:lock v:ext="edit" aspectratio="f"/>
                <v:textbox>
                  <w:txbxContent>
                    <w:p w14:paraId="19B84099">
                      <w:pPr>
                        <w:jc w:val="center"/>
                        <w:rPr>
                          <w:rFonts w:hint="eastAsia" w:eastAsia="宋体"/>
                          <w:sz w:val="32"/>
                          <w:szCs w:val="32"/>
                          <w:highlight w:val="none"/>
                          <w:lang w:eastAsia="zh-CN"/>
                        </w:rPr>
                      </w:pPr>
                      <w:r>
                        <w:rPr>
                          <w:rFonts w:hint="eastAsia" w:eastAsia="宋体"/>
                          <w:color w:val="auto"/>
                          <w:sz w:val="32"/>
                          <w:szCs w:val="32"/>
                          <w:highlight w:val="none"/>
                          <w:lang w:eastAsia="zh-CN"/>
                        </w:rPr>
                        <w:t>向阳区安全生产和</w:t>
                      </w:r>
                      <w:r>
                        <w:rPr>
                          <w:rFonts w:hint="eastAsia" w:eastAsia="宋体"/>
                          <w:sz w:val="32"/>
                          <w:szCs w:val="32"/>
                          <w:highlight w:val="none"/>
                          <w:lang w:eastAsia="zh-CN"/>
                        </w:rPr>
                        <w:t>防灾减灾救灾委员会</w:t>
                      </w:r>
                    </w:p>
                  </w:txbxContent>
                </v:textbox>
              </v:shape>
            </w:pict>
          </mc:Fallback>
        </mc:AlternateContent>
      </w:r>
      <w:r>
        <w:rPr>
          <w:color w:val="auto"/>
          <w:sz w:val="21"/>
        </w:rPr>
        <mc:AlternateContent>
          <mc:Choice Requires="wps">
            <w:drawing>
              <wp:anchor distT="0" distB="0" distL="114300" distR="114300" simplePos="0" relativeHeight="251661312" behindDoc="0" locked="0" layoutInCell="1" allowOverlap="1">
                <wp:simplePos x="0" y="0"/>
                <wp:positionH relativeFrom="column">
                  <wp:posOffset>513080</wp:posOffset>
                </wp:positionH>
                <wp:positionV relativeFrom="paragraph">
                  <wp:posOffset>1790065</wp:posOffset>
                </wp:positionV>
                <wp:extent cx="3552190" cy="589915"/>
                <wp:effectExtent l="4445" t="4445" r="9525" b="15240"/>
                <wp:wrapNone/>
                <wp:docPr id="3" name="文本框 3"/>
                <wp:cNvGraphicFramePr/>
                <a:graphic xmlns:a="http://schemas.openxmlformats.org/drawingml/2006/main">
                  <a:graphicData uri="http://schemas.microsoft.com/office/word/2010/wordprocessingShape">
                    <wps:wsp>
                      <wps:cNvSpPr txBox="1"/>
                      <wps:spPr>
                        <a:xfrm>
                          <a:off x="0" y="0"/>
                          <a:ext cx="3552190" cy="5899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0A531D0">
                            <w:pPr>
                              <w:jc w:val="center"/>
                              <w:rPr>
                                <w:rFonts w:hint="eastAsia" w:eastAsia="宋体"/>
                                <w:sz w:val="32"/>
                                <w:szCs w:val="32"/>
                                <w:lang w:eastAsia="zh-CN"/>
                              </w:rPr>
                            </w:pPr>
                            <w:r>
                              <w:rPr>
                                <w:rFonts w:hint="eastAsia" w:eastAsia="宋体"/>
                                <w:color w:val="auto"/>
                                <w:sz w:val="32"/>
                                <w:szCs w:val="32"/>
                                <w:lang w:eastAsia="zh-CN"/>
                              </w:rPr>
                              <w:t>佳木斯市安全生产和防灾</w:t>
                            </w:r>
                            <w:r>
                              <w:rPr>
                                <w:rFonts w:hint="eastAsia" w:eastAsia="宋体"/>
                                <w:sz w:val="32"/>
                                <w:szCs w:val="32"/>
                                <w:lang w:eastAsia="zh-CN"/>
                              </w:rPr>
                              <w:t>减灾救灾委员会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4pt;margin-top:140.95pt;height:46.45pt;width:279.7pt;z-index:251661312;mso-width-relative:page;mso-height-relative:page;" fillcolor="#FFFFFF [3201]" filled="t" stroked="t" coordsize="21600,21600" o:gfxdata="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AgcS5XXAAAA&#10;CgEAAA8AAAAAAAAAAQAgAAAAIgAAAGRycy9kb3ducmV2LnhtbFBLAQIUABQAAAAIAIdO4kApJ5i9&#10;VwIAALcEAAAOAAAAAAAAAAEAIAAAACYBAABkcnMvZTJvRG9jLnhtbFBLBQYAAAAABgAGAFkBAADv&#10;BQAAAAA=&#10;">
                <v:fill on="t" focussize="0,0"/>
                <v:stroke weight="0.5pt" color="#000000 [3204]" joinstyle="round"/>
                <v:imagedata o:title=""/>
                <o:lock v:ext="edit" aspectratio="f"/>
                <v:textbox>
                  <w:txbxContent>
                    <w:p w14:paraId="30A531D0">
                      <w:pPr>
                        <w:jc w:val="center"/>
                        <w:rPr>
                          <w:rFonts w:hint="eastAsia" w:eastAsia="宋体"/>
                          <w:sz w:val="32"/>
                          <w:szCs w:val="32"/>
                          <w:lang w:eastAsia="zh-CN"/>
                        </w:rPr>
                      </w:pPr>
                      <w:r>
                        <w:rPr>
                          <w:rFonts w:hint="eastAsia" w:eastAsia="宋体"/>
                          <w:color w:val="auto"/>
                          <w:sz w:val="32"/>
                          <w:szCs w:val="32"/>
                          <w:lang w:eastAsia="zh-CN"/>
                        </w:rPr>
                        <w:t>佳木斯市安全生产和防灾</w:t>
                      </w:r>
                      <w:r>
                        <w:rPr>
                          <w:rFonts w:hint="eastAsia" w:eastAsia="宋体"/>
                          <w:sz w:val="32"/>
                          <w:szCs w:val="32"/>
                          <w:lang w:eastAsia="zh-CN"/>
                        </w:rPr>
                        <w:t>减灾救灾委员会</w:t>
                      </w:r>
                    </w:p>
                  </w:txbxContent>
                </v:textbox>
              </v:shape>
            </w:pict>
          </mc:Fallback>
        </mc:AlternateContent>
      </w:r>
      <w:r>
        <w:rPr>
          <w:color w:val="auto"/>
          <w:sz w:val="21"/>
        </w:rPr>
        <mc:AlternateContent>
          <mc:Choice Requires="wps">
            <w:drawing>
              <wp:anchor distT="0" distB="0" distL="114300" distR="114300" simplePos="0" relativeHeight="251660288" behindDoc="0" locked="0" layoutInCell="1" allowOverlap="1">
                <wp:simplePos x="0" y="0"/>
                <wp:positionH relativeFrom="column">
                  <wp:posOffset>513080</wp:posOffset>
                </wp:positionH>
                <wp:positionV relativeFrom="paragraph">
                  <wp:posOffset>822325</wp:posOffset>
                </wp:positionV>
                <wp:extent cx="3561715" cy="660400"/>
                <wp:effectExtent l="4445" t="4445" r="15240" b="5715"/>
                <wp:wrapNone/>
                <wp:docPr id="2" name="文本框 2"/>
                <wp:cNvGraphicFramePr/>
                <a:graphic xmlns:a="http://schemas.openxmlformats.org/drawingml/2006/main">
                  <a:graphicData uri="http://schemas.microsoft.com/office/word/2010/wordprocessingShape">
                    <wps:wsp>
                      <wps:cNvSpPr txBox="1"/>
                      <wps:spPr>
                        <a:xfrm>
                          <a:off x="0" y="0"/>
                          <a:ext cx="3561715" cy="6604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7346B66">
                            <w:pPr>
                              <w:jc w:val="center"/>
                              <w:rPr>
                                <w:rFonts w:hint="eastAsia" w:eastAsia="宋体"/>
                                <w:sz w:val="24"/>
                                <w:szCs w:val="24"/>
                                <w:lang w:eastAsia="zh-CN"/>
                              </w:rPr>
                            </w:pPr>
                            <w:r>
                              <w:rPr>
                                <w:rFonts w:hint="eastAsia" w:eastAsia="宋体"/>
                                <w:color w:val="auto"/>
                                <w:sz w:val="32"/>
                                <w:szCs w:val="32"/>
                                <w:lang w:eastAsia="zh-CN"/>
                              </w:rPr>
                              <w:t>黑龙江省安全生产和防灾减灾</w:t>
                            </w:r>
                            <w:r>
                              <w:rPr>
                                <w:rFonts w:hint="eastAsia" w:eastAsia="宋体"/>
                                <w:sz w:val="32"/>
                                <w:szCs w:val="32"/>
                                <w:lang w:eastAsia="zh-CN"/>
                              </w:rPr>
                              <w:t>救灾委员会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4pt;margin-top:64.75pt;height:52pt;width:280.45pt;z-index:251660288;mso-width-relative:page;mso-height-relative:page;" fillcolor="#FFFFFF [3201]" filled="t" stroked="t" coordsize="21600,21600" o:gfxdata="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RrcYnX&#10;AAAACgEAAA8AAAAAAAAAAQAgAAAAIgAAAGRycy9kb3ducmV2LnhtbFBLAQIUABQAAAAIAIdO4kBO&#10;iYx5WgIAALcEAAAOAAAAAAAAAAEAIAAAACYBAABkcnMvZTJvRG9jLnhtbFBLBQYAAAAABgAGAFkB&#10;AADyBQAAAAA=&#10;">
                <v:fill on="t" focussize="0,0"/>
                <v:stroke weight="0.5pt" color="#000000 [3204]" joinstyle="round"/>
                <v:imagedata o:title=""/>
                <o:lock v:ext="edit" aspectratio="f"/>
                <v:textbox>
                  <w:txbxContent>
                    <w:p w14:paraId="47346B66">
                      <w:pPr>
                        <w:jc w:val="center"/>
                        <w:rPr>
                          <w:rFonts w:hint="eastAsia" w:eastAsia="宋体"/>
                          <w:sz w:val="24"/>
                          <w:szCs w:val="24"/>
                          <w:lang w:eastAsia="zh-CN"/>
                        </w:rPr>
                      </w:pPr>
                      <w:r>
                        <w:rPr>
                          <w:rFonts w:hint="eastAsia" w:eastAsia="宋体"/>
                          <w:color w:val="auto"/>
                          <w:sz w:val="32"/>
                          <w:szCs w:val="32"/>
                          <w:lang w:eastAsia="zh-CN"/>
                        </w:rPr>
                        <w:t>黑龙江省安全生产和防灾减灾</w:t>
                      </w:r>
                      <w:r>
                        <w:rPr>
                          <w:rFonts w:hint="eastAsia" w:eastAsia="宋体"/>
                          <w:sz w:val="32"/>
                          <w:szCs w:val="32"/>
                          <w:lang w:eastAsia="zh-CN"/>
                        </w:rPr>
                        <w:t>救灾委员会</w:t>
                      </w:r>
                    </w:p>
                  </w:txbxContent>
                </v:textbox>
              </v:shape>
            </w:pict>
          </mc:Fallback>
        </mc:AlternateContent>
      </w:r>
      <w:r>
        <w:rPr>
          <w:color w:val="auto"/>
          <w:sz w:val="21"/>
        </w:rPr>
        <mc:AlternateContent>
          <mc:Choice Requires="wps">
            <w:drawing>
              <wp:anchor distT="0" distB="0" distL="114300" distR="114300" simplePos="0" relativeHeight="251664384" behindDoc="0" locked="0" layoutInCell="1" allowOverlap="1">
                <wp:simplePos x="0" y="0"/>
                <wp:positionH relativeFrom="column">
                  <wp:posOffset>826135</wp:posOffset>
                </wp:positionH>
                <wp:positionV relativeFrom="paragraph">
                  <wp:posOffset>5321935</wp:posOffset>
                </wp:positionV>
                <wp:extent cx="2871470" cy="416560"/>
                <wp:effectExtent l="4445" t="5080" r="19685" b="5080"/>
                <wp:wrapNone/>
                <wp:docPr id="7" name="文本框 7"/>
                <wp:cNvGraphicFramePr/>
                <a:graphic xmlns:a="http://schemas.openxmlformats.org/drawingml/2006/main">
                  <a:graphicData uri="http://schemas.microsoft.com/office/word/2010/wordprocessingShape">
                    <wps:wsp>
                      <wps:cNvSpPr txBox="1"/>
                      <wps:spPr>
                        <a:xfrm>
                          <a:off x="0" y="0"/>
                          <a:ext cx="2871470" cy="4165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FFC27B1">
                            <w:pPr>
                              <w:jc w:val="center"/>
                              <w:rPr>
                                <w:rFonts w:hint="eastAsia" w:eastAsia="宋体"/>
                                <w:sz w:val="32"/>
                                <w:szCs w:val="32"/>
                                <w:lang w:eastAsia="zh-CN"/>
                              </w:rPr>
                            </w:pPr>
                            <w:r>
                              <w:rPr>
                                <w:rFonts w:hint="eastAsia" w:eastAsia="宋体"/>
                                <w:sz w:val="32"/>
                                <w:szCs w:val="32"/>
                                <w:lang w:eastAsia="zh-CN"/>
                              </w:rPr>
                              <w:t>社会自然灾害应急组织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5.05pt;margin-top:419.05pt;height:32.8pt;width:226.1pt;z-index:251664384;mso-width-relative:page;mso-height-relative:page;" fillcolor="#FFFFFF [3201]" filled="t" stroked="t" coordsize="21600,21600" o:gfxdata="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gImHa&#10;1wAAAAsBAAAPAAAAAAAAAAEAIAAAACIAAABkcnMvZG93bnJldi54bWxQSwECFAAUAAAACACHTuJA&#10;hNN5s1sCAAC3BAAADgAAAAAAAAABACAAAAAmAQAAZHJzL2Uyb0RvYy54bWxQSwUGAAAAAAYABgBZ&#10;AQAA8wUAAAAA&#10;">
                <v:fill on="t" focussize="0,0"/>
                <v:stroke weight="0.5pt" color="#000000 [3204]" joinstyle="round"/>
                <v:imagedata o:title=""/>
                <o:lock v:ext="edit" aspectratio="f"/>
                <v:textbox>
                  <w:txbxContent>
                    <w:p w14:paraId="7FFC27B1">
                      <w:pPr>
                        <w:jc w:val="center"/>
                        <w:rPr>
                          <w:rFonts w:hint="eastAsia" w:eastAsia="宋体"/>
                          <w:sz w:val="32"/>
                          <w:szCs w:val="32"/>
                          <w:lang w:eastAsia="zh-CN"/>
                        </w:rPr>
                      </w:pPr>
                      <w:r>
                        <w:rPr>
                          <w:rFonts w:hint="eastAsia" w:eastAsia="宋体"/>
                          <w:sz w:val="32"/>
                          <w:szCs w:val="32"/>
                          <w:lang w:eastAsia="zh-CN"/>
                        </w:rPr>
                        <w:t>社会自然灾害应急组织</w:t>
                      </w:r>
                    </w:p>
                  </w:txbxContent>
                </v:textbox>
              </v:shape>
            </w:pict>
          </mc:Fallback>
        </mc:AlternateContent>
      </w:r>
      <w:r>
        <w:rPr>
          <w:color w:val="auto"/>
          <w:sz w:val="21"/>
        </w:rPr>
        <mc:AlternateContent>
          <mc:Choice Requires="wps">
            <w:drawing>
              <wp:anchor distT="0" distB="0" distL="114300" distR="114300" simplePos="0" relativeHeight="251663360" behindDoc="0" locked="0" layoutInCell="1" allowOverlap="1">
                <wp:simplePos x="0" y="0"/>
                <wp:positionH relativeFrom="column">
                  <wp:posOffset>826135</wp:posOffset>
                </wp:positionH>
                <wp:positionV relativeFrom="paragraph">
                  <wp:posOffset>3890645</wp:posOffset>
                </wp:positionV>
                <wp:extent cx="2871470" cy="915670"/>
                <wp:effectExtent l="4445" t="5080" r="19685" b="8890"/>
                <wp:wrapNone/>
                <wp:docPr id="5" name="文本框 5"/>
                <wp:cNvGraphicFramePr/>
                <a:graphic xmlns:a="http://schemas.openxmlformats.org/drawingml/2006/main">
                  <a:graphicData uri="http://schemas.microsoft.com/office/word/2010/wordprocessingShape">
                    <wps:wsp>
                      <wps:cNvSpPr txBox="1"/>
                      <wps:spPr>
                        <a:xfrm>
                          <a:off x="0" y="0"/>
                          <a:ext cx="2871470" cy="9156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BEC63E8">
                            <w:pPr>
                              <w:jc w:val="center"/>
                              <w:rPr>
                                <w:rFonts w:hint="eastAsia" w:eastAsia="宋体"/>
                                <w:sz w:val="32"/>
                                <w:szCs w:val="32"/>
                                <w:lang w:eastAsia="zh-CN"/>
                              </w:rPr>
                            </w:pPr>
                            <w:r>
                              <w:rPr>
                                <w:rFonts w:hint="eastAsia" w:eastAsia="宋体"/>
                                <w:sz w:val="32"/>
                                <w:szCs w:val="32"/>
                                <w:lang w:eastAsia="zh-CN"/>
                              </w:rPr>
                              <w:t>各行业主管部门、街道办事处、村屯安全生产和防灾减灾救灾委员会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5.05pt;margin-top:306.35pt;height:72.1pt;width:226.1pt;z-index:251663360;mso-width-relative:page;mso-height-relative:page;" fillcolor="#FFFFFF [3201]" filled="t" stroked="t" coordsize="21600,21600" o:gfxdata="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ikdxS2AAA&#10;AAsBAAAPAAAAAAAAAAEAIAAAACIAAABkcnMvZG93bnJldi54bWxQSwECFAAUAAAACACHTuJANG/k&#10;01cCAAC3BAAADgAAAAAAAAABACAAAAAnAQAAZHJzL2Uyb0RvYy54bWxQSwUGAAAAAAYABgBZAQAA&#10;8AUAAAAA&#10;">
                <v:fill on="t" focussize="0,0"/>
                <v:stroke weight="0.5pt" color="#000000 [3204]" joinstyle="round"/>
                <v:imagedata o:title=""/>
                <o:lock v:ext="edit" aspectratio="f"/>
                <v:textbox>
                  <w:txbxContent>
                    <w:p w14:paraId="1BEC63E8">
                      <w:pPr>
                        <w:jc w:val="center"/>
                        <w:rPr>
                          <w:rFonts w:hint="eastAsia" w:eastAsia="宋体"/>
                          <w:sz w:val="32"/>
                          <w:szCs w:val="32"/>
                          <w:lang w:eastAsia="zh-CN"/>
                        </w:rPr>
                      </w:pPr>
                      <w:r>
                        <w:rPr>
                          <w:rFonts w:hint="eastAsia" w:eastAsia="宋体"/>
                          <w:sz w:val="32"/>
                          <w:szCs w:val="32"/>
                          <w:lang w:eastAsia="zh-CN"/>
                        </w:rPr>
                        <w:t>各行业主管部门、街道办事处、村屯安全生产和防灾减灾救灾委员会</w:t>
                      </w:r>
                    </w:p>
                  </w:txbxContent>
                </v:textbox>
              </v:shape>
            </w:pict>
          </mc:Fallback>
        </mc:AlternateContent>
      </w:r>
    </w:p>
    <w:p w14:paraId="592CB423">
      <w:pPr>
        <w:rPr>
          <w:color w:val="auto"/>
        </w:rPr>
      </w:pPr>
    </w:p>
    <w:bookmarkEnd w:id="38"/>
    <w:p w14:paraId="3CECB9BD">
      <w:pPr>
        <w:pStyle w:val="3"/>
        <w:rPr>
          <w:rFonts w:ascii="Times New Roman" w:hAnsi="Times New Roman" w:cs="Times New Roman"/>
          <w:lang w:eastAsia="zh-CN"/>
        </w:rPr>
      </w:pPr>
    </w:p>
    <w:sectPr>
      <w:footerReference r:id="rId6" w:type="default"/>
      <w:pgSz w:w="11906" w:h="16839"/>
      <w:pgMar w:top="1582" w:right="1338" w:bottom="1179" w:left="1480" w:header="0" w:footer="1119"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54DFEB-CF97-4FD8-80B8-AEB94E7C70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5790EE45-5C41-4B0A-88C8-135A50E4F31E}"/>
  </w:font>
  <w:font w:name="仿宋">
    <w:panose1 w:val="02010609060101010101"/>
    <w:charset w:val="86"/>
    <w:family w:val="auto"/>
    <w:pitch w:val="default"/>
    <w:sig w:usb0="800002BF" w:usb1="38CF7CFA" w:usb2="00000016" w:usb3="00000000" w:csb0="00040001" w:csb1="00000000"/>
    <w:embedRegular r:id="rId3" w:fontKey="{D4839993-7E37-43CF-94E6-A83F4EA1D183}"/>
  </w:font>
  <w:font w:name="仿宋_GB2312">
    <w:panose1 w:val="02010609030101010101"/>
    <w:charset w:val="86"/>
    <w:family w:val="auto"/>
    <w:pitch w:val="default"/>
    <w:sig w:usb0="00000001" w:usb1="080E0000" w:usb2="00000000" w:usb3="00000000" w:csb0="00040000" w:csb1="00000000"/>
    <w:embedRegular r:id="rId4" w:fontKey="{0BB55017-8B96-403D-8BB2-3E743D1FE7DF}"/>
  </w:font>
  <w:font w:name="楷体">
    <w:panose1 w:val="02010609060101010101"/>
    <w:charset w:val="86"/>
    <w:family w:val="modern"/>
    <w:pitch w:val="default"/>
    <w:sig w:usb0="800002BF" w:usb1="38CF7CFA" w:usb2="00000016" w:usb3="00000000" w:csb0="00040001" w:csb1="00000000"/>
    <w:embedRegular r:id="rId5" w:fontKey="{0C5B645F-6455-44FA-9256-C0EF7470D60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A7122">
    <w:pPr>
      <w:spacing w:line="226" w:lineRule="exact"/>
      <w:ind w:left="4024"/>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DED9D">
    <w:pPr>
      <w:spacing w:line="226" w:lineRule="exact"/>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5D023">
    <w:pPr>
      <w:spacing w:line="226"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459EF3">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4459EF3">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5F4FE">
    <w:pPr>
      <w:pStyle w:val="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3E1EA1"/>
    <w:rsid w:val="00045912"/>
    <w:rsid w:val="0019662D"/>
    <w:rsid w:val="0026043F"/>
    <w:rsid w:val="00277A20"/>
    <w:rsid w:val="002C68E2"/>
    <w:rsid w:val="003E1EA1"/>
    <w:rsid w:val="00425E72"/>
    <w:rsid w:val="00596D75"/>
    <w:rsid w:val="007C44A3"/>
    <w:rsid w:val="009C44E2"/>
    <w:rsid w:val="009E2DD5"/>
    <w:rsid w:val="00B356DE"/>
    <w:rsid w:val="00B92554"/>
    <w:rsid w:val="00BA6D51"/>
    <w:rsid w:val="00C838A2"/>
    <w:rsid w:val="00CC578E"/>
    <w:rsid w:val="00D57E76"/>
    <w:rsid w:val="00E23231"/>
    <w:rsid w:val="00F95582"/>
    <w:rsid w:val="00FB67BA"/>
    <w:rsid w:val="01281F77"/>
    <w:rsid w:val="0328714A"/>
    <w:rsid w:val="03DD6186"/>
    <w:rsid w:val="05E11832"/>
    <w:rsid w:val="06CA4D6C"/>
    <w:rsid w:val="070659F4"/>
    <w:rsid w:val="09F04EC7"/>
    <w:rsid w:val="0A870BFA"/>
    <w:rsid w:val="0B0C55A3"/>
    <w:rsid w:val="0B442709"/>
    <w:rsid w:val="0C1B3CF0"/>
    <w:rsid w:val="0DAB4067"/>
    <w:rsid w:val="0EDA4E6E"/>
    <w:rsid w:val="0F143108"/>
    <w:rsid w:val="0F2F713D"/>
    <w:rsid w:val="0FF243C6"/>
    <w:rsid w:val="1066305F"/>
    <w:rsid w:val="11D81D3B"/>
    <w:rsid w:val="11DE3398"/>
    <w:rsid w:val="12641A39"/>
    <w:rsid w:val="128B14A3"/>
    <w:rsid w:val="142B0848"/>
    <w:rsid w:val="14DC5F3A"/>
    <w:rsid w:val="15A07B53"/>
    <w:rsid w:val="16022AA8"/>
    <w:rsid w:val="1609266D"/>
    <w:rsid w:val="16ED715F"/>
    <w:rsid w:val="172872C1"/>
    <w:rsid w:val="177503B2"/>
    <w:rsid w:val="178F5592"/>
    <w:rsid w:val="184F0509"/>
    <w:rsid w:val="19150E37"/>
    <w:rsid w:val="1A085187"/>
    <w:rsid w:val="1A3D3CA5"/>
    <w:rsid w:val="1A9218A4"/>
    <w:rsid w:val="1CB11B06"/>
    <w:rsid w:val="1CEC58AD"/>
    <w:rsid w:val="1D022362"/>
    <w:rsid w:val="1E7228D5"/>
    <w:rsid w:val="1E984216"/>
    <w:rsid w:val="1F7A2683"/>
    <w:rsid w:val="1FA83694"/>
    <w:rsid w:val="21642211"/>
    <w:rsid w:val="21A458A0"/>
    <w:rsid w:val="229B495F"/>
    <w:rsid w:val="22B31F9F"/>
    <w:rsid w:val="234E6D32"/>
    <w:rsid w:val="24201391"/>
    <w:rsid w:val="245260D9"/>
    <w:rsid w:val="247E3280"/>
    <w:rsid w:val="24E02777"/>
    <w:rsid w:val="24EA579D"/>
    <w:rsid w:val="252B1641"/>
    <w:rsid w:val="256A3ACE"/>
    <w:rsid w:val="25E9586A"/>
    <w:rsid w:val="26031625"/>
    <w:rsid w:val="26106B38"/>
    <w:rsid w:val="263A4583"/>
    <w:rsid w:val="27552859"/>
    <w:rsid w:val="28E1024B"/>
    <w:rsid w:val="2A0E67EA"/>
    <w:rsid w:val="2A793DD4"/>
    <w:rsid w:val="2AD01CF1"/>
    <w:rsid w:val="2AD03A9F"/>
    <w:rsid w:val="2AE305F9"/>
    <w:rsid w:val="2C736DD8"/>
    <w:rsid w:val="2CE938E0"/>
    <w:rsid w:val="2D524C40"/>
    <w:rsid w:val="2D7B25F8"/>
    <w:rsid w:val="2EF25B35"/>
    <w:rsid w:val="2FD15445"/>
    <w:rsid w:val="307849BD"/>
    <w:rsid w:val="31CF02D8"/>
    <w:rsid w:val="32584AA6"/>
    <w:rsid w:val="33B14D6B"/>
    <w:rsid w:val="35366A4F"/>
    <w:rsid w:val="36D641EB"/>
    <w:rsid w:val="39E84962"/>
    <w:rsid w:val="3B5A363D"/>
    <w:rsid w:val="3B652B19"/>
    <w:rsid w:val="3BC770ED"/>
    <w:rsid w:val="3C342BE7"/>
    <w:rsid w:val="3C4607A9"/>
    <w:rsid w:val="3C6773B9"/>
    <w:rsid w:val="3C7A5BC5"/>
    <w:rsid w:val="3D117AA8"/>
    <w:rsid w:val="3E4159EF"/>
    <w:rsid w:val="41F039B0"/>
    <w:rsid w:val="423B311F"/>
    <w:rsid w:val="42E75F7A"/>
    <w:rsid w:val="432D2D70"/>
    <w:rsid w:val="432E1164"/>
    <w:rsid w:val="461819E5"/>
    <w:rsid w:val="46345E62"/>
    <w:rsid w:val="47817DB2"/>
    <w:rsid w:val="48C540C0"/>
    <w:rsid w:val="4CD24250"/>
    <w:rsid w:val="4D2F72E2"/>
    <w:rsid w:val="4D5615E1"/>
    <w:rsid w:val="507E7976"/>
    <w:rsid w:val="50FC71C9"/>
    <w:rsid w:val="515F3303"/>
    <w:rsid w:val="530B5464"/>
    <w:rsid w:val="54447157"/>
    <w:rsid w:val="5488491F"/>
    <w:rsid w:val="54F3325C"/>
    <w:rsid w:val="5517323D"/>
    <w:rsid w:val="56723AD9"/>
    <w:rsid w:val="56975457"/>
    <w:rsid w:val="570701C8"/>
    <w:rsid w:val="57C20C8A"/>
    <w:rsid w:val="5A8720B6"/>
    <w:rsid w:val="5B134BEB"/>
    <w:rsid w:val="5BD76CE2"/>
    <w:rsid w:val="5C270EC2"/>
    <w:rsid w:val="5DD307EF"/>
    <w:rsid w:val="601C4B75"/>
    <w:rsid w:val="61053CDC"/>
    <w:rsid w:val="61495DB3"/>
    <w:rsid w:val="61A15272"/>
    <w:rsid w:val="626866FE"/>
    <w:rsid w:val="62C21041"/>
    <w:rsid w:val="63D33981"/>
    <w:rsid w:val="64B27796"/>
    <w:rsid w:val="65BF6FB2"/>
    <w:rsid w:val="65CC6B20"/>
    <w:rsid w:val="65CF6AAD"/>
    <w:rsid w:val="662332A7"/>
    <w:rsid w:val="67206C39"/>
    <w:rsid w:val="67F72090"/>
    <w:rsid w:val="6830115F"/>
    <w:rsid w:val="69ED625D"/>
    <w:rsid w:val="6A1E27E4"/>
    <w:rsid w:val="6A3972D0"/>
    <w:rsid w:val="6A7259FE"/>
    <w:rsid w:val="6AAC30B7"/>
    <w:rsid w:val="6CAC5F8F"/>
    <w:rsid w:val="6CCE0D27"/>
    <w:rsid w:val="6CD52BDB"/>
    <w:rsid w:val="6DDB314F"/>
    <w:rsid w:val="6EB14BEE"/>
    <w:rsid w:val="6F712945"/>
    <w:rsid w:val="6F927B3A"/>
    <w:rsid w:val="6FD256EB"/>
    <w:rsid w:val="706C4659"/>
    <w:rsid w:val="70E1568B"/>
    <w:rsid w:val="71ED3303"/>
    <w:rsid w:val="71EE2C7F"/>
    <w:rsid w:val="72230316"/>
    <w:rsid w:val="7295497F"/>
    <w:rsid w:val="72E307BC"/>
    <w:rsid w:val="72F07E08"/>
    <w:rsid w:val="73127821"/>
    <w:rsid w:val="736B66AD"/>
    <w:rsid w:val="73EF6740"/>
    <w:rsid w:val="74055B35"/>
    <w:rsid w:val="74286AC6"/>
    <w:rsid w:val="74F17E67"/>
    <w:rsid w:val="761024BB"/>
    <w:rsid w:val="769211D6"/>
    <w:rsid w:val="76CD2CBF"/>
    <w:rsid w:val="7758241F"/>
    <w:rsid w:val="791F54A6"/>
    <w:rsid w:val="792E51E6"/>
    <w:rsid w:val="79B35BA8"/>
    <w:rsid w:val="7A4B0019"/>
    <w:rsid w:val="7ADD22C2"/>
    <w:rsid w:val="7B10511E"/>
    <w:rsid w:val="7B8F0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character" w:styleId="10">
    <w:name w:val="annotation reference"/>
    <w:basedOn w:val="9"/>
    <w:qFormat/>
    <w:uiPriority w:val="0"/>
    <w:rPr>
      <w:sz w:val="21"/>
      <w:szCs w:val="21"/>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No Spacing1"/>
    <w:basedOn w:val="1"/>
    <w:qFormat/>
    <w:uiPriority w:val="0"/>
    <w:pPr>
      <w:widowControl w:val="0"/>
      <w:jc w:val="both"/>
    </w:pPr>
    <w:rPr>
      <w:rFonts w:ascii="Calibri" w:hAnsi="Calibri" w:eastAsia="宋体" w:cs="Times New Roman"/>
      <w:kern w:val="2"/>
      <w:sz w:val="32"/>
      <w:szCs w:val="32"/>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b388524b-e180-43fa-b5bf-5476006bbb1e</errorID>
      <errorWord>管理为主</errorWord>
      <group>L1_Grammar</group>
      <groupName>语法问题</groupName>
      <ability>L2_Order</ability>
      <abilityName>语序不当</abilityName>
      <candidateList>
        <item>管理</item>
      </candidateList>
      <explain>句子可能没有遵循时空、逻辑顺序，或者介词、关联词等位置不当。</explain>
      <paraID>7D7BA2FE</paraID>
      <start>21</start>
      <end>25</end>
      <status>unmodified</status>
      <modifiedWord/>
      <trackRevisions>false</trackRevisions>
    </reviewItem>
    <reviewItem>
      <errorID>5a9dd34f-126f-43eb-86f6-c62cd9e92695</errorID>
      <errorWord>年平均降水量</errorWord>
      <group>L1_Word</group>
      <groupName>字词问题</groupName>
      <ability>L2_Alias</ability>
      <abilityName>也作/曾用词</abilityName>
      <candidateList>
        <item>平均年降水量</item>
      </candidateList>
      <explain>词汇[年平均降水量]为不规范表述或旧称，其规范书面表述为[平均年降水量]。</explain>
      <paraID>7F16E812</paraID>
      <start>42</start>
      <end>48</end>
      <status>unmodified</status>
      <modifiedWord/>
      <trackRevisions>false</trackRevisions>
    </reviewItem>
    <reviewItem>
      <errorID>142472a9-2c0c-4155-be62-34b1aea3801a</errorID>
      <errorWord>提高</errorWord>
      <group>L1_Word</group>
      <groupName>字词问题</groupName>
      <ability>L2_Typo</ability>
      <abilityName>字词错误</abilityName>
      <candidateList>
        <item>增强</item>
      </candidateList>
      <explain>“提高～意识”搭配不当，建议修改为“增强～意识”。</explain>
      <paraID>7C45E9D9</paraID>
      <start>126</start>
      <end>128</end>
      <status>unmodified</status>
      <modifiedWord/>
      <trackRevisions>false</trackRevisions>
    </reviewItem>
    <reviewItem>
      <errorID>1f9c3624-f729-4ba0-87b2-443e15286e1d</errorID>
      <errorWord>累积降水量</errorWord>
      <group>L1_Word</group>
      <groupName>字词问题</groupName>
      <ability>L2_Typo</ability>
      <abilityName>字词错误</abilityName>
      <candidateList>
        <item>累计降水量</item>
      </candidateList>
      <explain/>
      <paraID>2BBD4249</paraID>
      <start>13</start>
      <end>18</end>
      <status>unmodified</status>
      <modifiedWord/>
      <trackRevisions>false</trackRevisions>
    </reviewItem>
    <reviewItem>
      <errorID>d2834c37-49a1-444f-b863-d0004ad99443</errorID>
      <errorWord>累积降水量</errorWord>
      <group>L1_Word</group>
      <groupName>字词问题</groupName>
      <ability>L2_Typo</ability>
      <abilityName>字词错误</abilityName>
      <candidateList>
        <item>累计降水量</item>
      </candidateList>
      <explain/>
      <paraID>2BBD4249</paraID>
      <start>34</start>
      <end>39</end>
      <status>unmodified</status>
      <modifiedWord/>
      <trackRevisions>false</trackRevisions>
    </reviewItem>
    <reviewItem>
      <errorID>4fe81153-adb3-4ba7-aacb-5f54fb0c40eb</errorID>
      <errorWord>累积降水量</errorWord>
      <group>L1_Word</group>
      <groupName>字词问题</groupName>
      <ability>L2_Typo</ability>
      <abilityName>字词错误</abilityName>
      <candidateList>
        <item>累计降水量</item>
      </candidateList>
      <explain/>
      <paraID>24CADD29</paraID>
      <start>14</start>
      <end>19</end>
      <status>unmodified</status>
      <modifiedWord/>
      <trackRevisions>false</trackRevisions>
    </reviewItem>
    <reviewItem>
      <errorID>e384fc05-c2c5-4880-96e0-7f453ec255af</errorID>
      <errorWord>累积降水量</errorWord>
      <group>L1_Word</group>
      <groupName>字词问题</groupName>
      <ability>L2_Typo</ability>
      <abilityName>字词错误</abilityName>
      <candidateList>
        <item>累计降水量</item>
      </candidateList>
      <explain/>
      <paraID>15934065</paraID>
      <start>5</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89c07b-90b6-4766-9978-082759bcf519}">
  <ds:schemaRefs/>
</ds:datastoreItem>
</file>

<file path=docProps/app.xml><?xml version="1.0" encoding="utf-8"?>
<Properties xmlns="http://schemas.openxmlformats.org/officeDocument/2006/extended-properties" xmlns:vt="http://schemas.openxmlformats.org/officeDocument/2006/docPropsVTypes">
  <Template>Normal</Template>
  <Pages>26</Pages>
  <Words>10967</Words>
  <Characters>11188</Characters>
  <Lines>382</Lines>
  <Paragraphs>324</Paragraphs>
  <TotalTime>8</TotalTime>
  <ScaleCrop>false</ScaleCrop>
  <LinksUpToDate>false</LinksUpToDate>
  <CharactersWithSpaces>11300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2023-07-17T14:19:00Z</dcterms:created>
  <dc:creator>28-3</dc:creator>
  <cp:lastModifiedBy>A</cp:lastModifiedBy>
  <cp:lastPrinted>2025-10-23T06:05:00Z</cp:lastPrinted>
  <dcterms:modified xsi:type="dcterms:W3CDTF">2026-02-02T07:11:48Z</dcterms:modified>
  <dc:title>全省应急管理工作会议各地交流材料</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2025-09-17T09:08:00Z</vt:filetime>
  </property>
  <property fmtid="{D5CDD505-2E9C-101B-9397-08002B2CF9AE}" pid="4" name="KSOProductBuildVer">
    <vt:lpwstr>2052-12.1.0.24657</vt:lpwstr>
  </property>
  <property fmtid="{D5CDD505-2E9C-101B-9397-08002B2CF9AE}" pid="5" name="KSOTemplateDocerSaveRecord">
    <vt:lpwstr>eyJoZGlkIjoiMGQ0ODlkZjk1YWVhMmM1YjE4NTliNDE5NmJiMTdmNGMiLCJ1c2VySWQiOiIyNTc2OTIxMzcifQ==</vt:lpwstr>
  </property>
  <property fmtid="{D5CDD505-2E9C-101B-9397-08002B2CF9AE}" pid="6" name="ICV">
    <vt:lpwstr>2C35EEA797DE4796AC011210313E12A3_13</vt:lpwstr>
  </property>
</Properties>
</file>