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6B8E2">
      <w:pPr>
        <w:pStyle w:val="6"/>
        <w:keepNext w:val="0"/>
        <w:keepLines w:val="0"/>
        <w:pageBreakBefore w:val="0"/>
        <w:widowControl w:val="0"/>
        <w:kinsoku/>
        <w:wordWrap/>
        <w:overflowPunct/>
        <w:topLinePunct w:val="0"/>
        <w:autoSpaceDE w:val="0"/>
        <w:autoSpaceDN w:val="0"/>
        <w:bidi w:val="0"/>
        <w:spacing w:line="252" w:lineRule="auto"/>
        <w:rPr>
          <w:rFonts w:ascii="Times New Roman" w:hAnsi="Times New Roman" w:cs="Times New Roman"/>
        </w:rPr>
      </w:pPr>
    </w:p>
    <w:p w14:paraId="002F9471">
      <w:pPr>
        <w:pStyle w:val="6"/>
        <w:keepNext w:val="0"/>
        <w:keepLines w:val="0"/>
        <w:pageBreakBefore w:val="0"/>
        <w:widowControl w:val="0"/>
        <w:kinsoku/>
        <w:wordWrap/>
        <w:overflowPunct/>
        <w:topLinePunct w:val="0"/>
        <w:autoSpaceDE w:val="0"/>
        <w:autoSpaceDN w:val="0"/>
        <w:bidi w:val="0"/>
        <w:spacing w:line="252" w:lineRule="auto"/>
        <w:rPr>
          <w:rFonts w:ascii="Times New Roman" w:hAnsi="Times New Roman" w:cs="Times New Roman"/>
        </w:rPr>
      </w:pPr>
    </w:p>
    <w:p w14:paraId="3C5E5A77">
      <w:pPr>
        <w:pStyle w:val="6"/>
        <w:keepNext w:val="0"/>
        <w:keepLines w:val="0"/>
        <w:pageBreakBefore w:val="0"/>
        <w:widowControl w:val="0"/>
        <w:kinsoku/>
        <w:wordWrap/>
        <w:overflowPunct/>
        <w:topLinePunct w:val="0"/>
        <w:autoSpaceDE w:val="0"/>
        <w:autoSpaceDN w:val="0"/>
        <w:bidi w:val="0"/>
        <w:spacing w:line="252" w:lineRule="auto"/>
        <w:rPr>
          <w:rFonts w:ascii="Times New Roman" w:hAnsi="Times New Roman" w:cs="Times New Roman"/>
        </w:rPr>
      </w:pPr>
    </w:p>
    <w:p w14:paraId="0AC14F8B">
      <w:pPr>
        <w:pStyle w:val="6"/>
        <w:keepNext w:val="0"/>
        <w:keepLines w:val="0"/>
        <w:pageBreakBefore w:val="0"/>
        <w:widowControl w:val="0"/>
        <w:kinsoku/>
        <w:wordWrap/>
        <w:overflowPunct/>
        <w:topLinePunct w:val="0"/>
        <w:autoSpaceDE w:val="0"/>
        <w:autoSpaceDN w:val="0"/>
        <w:bidi w:val="0"/>
        <w:spacing w:line="252" w:lineRule="auto"/>
        <w:rPr>
          <w:rFonts w:ascii="Times New Roman" w:hAnsi="Times New Roman" w:cs="Times New Roman"/>
        </w:rPr>
      </w:pPr>
    </w:p>
    <w:p w14:paraId="35152DDC">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088D2AC4">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2AAE4C83">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7BBA16FA">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2D106969">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69A8ACE5">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06FDBF89">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4FA9A54A">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3A36DC67">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65B2310F">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0010FDE5">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26E8EDD2">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50F84A89">
      <w:pPr>
        <w:pStyle w:val="6"/>
        <w:keepNext w:val="0"/>
        <w:keepLines w:val="0"/>
        <w:pageBreakBefore w:val="0"/>
        <w:widowControl w:val="0"/>
        <w:kinsoku/>
        <w:wordWrap/>
        <w:overflowPunct/>
        <w:topLinePunct w:val="0"/>
        <w:autoSpaceDE w:val="0"/>
        <w:autoSpaceDN w:val="0"/>
        <w:bidi w:val="0"/>
        <w:spacing w:line="253" w:lineRule="auto"/>
        <w:rPr>
          <w:rFonts w:ascii="Times New Roman" w:hAnsi="Times New Roman" w:cs="Times New Roman"/>
        </w:rPr>
      </w:pPr>
    </w:p>
    <w:p w14:paraId="02FC40D0">
      <w:pPr>
        <w:keepNext w:val="0"/>
        <w:keepLines w:val="0"/>
        <w:pageBreakBefore w:val="0"/>
        <w:widowControl w:val="0"/>
        <w:kinsoku/>
        <w:wordWrap/>
        <w:overflowPunct/>
        <w:topLinePunct w:val="0"/>
        <w:autoSpaceDE w:val="0"/>
        <w:autoSpaceDN w:val="0"/>
        <w:bidi w:val="0"/>
        <w:adjustRightInd w:val="0"/>
        <w:snapToGrid w:val="0"/>
        <w:spacing w:before="140" w:line="560" w:lineRule="exact"/>
        <w:jc w:val="center"/>
        <w:textAlignment w:val="baseline"/>
        <w:rPr>
          <w:rFonts w:ascii="Times New Roman" w:hAnsi="Times New Roman" w:eastAsia="宋体" w:cs="Times New Roman"/>
          <w:b w:val="0"/>
          <w:bCs w:val="0"/>
          <w:sz w:val="44"/>
          <w:szCs w:val="44"/>
          <w:lang w:eastAsia="zh-CN"/>
        </w:rPr>
      </w:pPr>
      <w:r>
        <w:rPr>
          <w:rFonts w:hint="eastAsia" w:ascii="方正小标宋简体" w:hAnsi="方正小标宋简体" w:eastAsia="方正小标宋简体" w:cs="方正小标宋简体"/>
          <w:b w:val="0"/>
          <w:bCs w:val="0"/>
          <w:spacing w:val="4"/>
          <w:sz w:val="44"/>
          <w:szCs w:val="44"/>
          <w:lang w:val="zh-CN" w:eastAsia="zh-CN"/>
        </w:rPr>
        <w:t>佳木斯市向阳区抗旱应急预案</w:t>
      </w:r>
    </w:p>
    <w:p w14:paraId="224F1B25">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ascii="Times New Roman" w:hAnsi="Times New Roman" w:eastAsia="宋体" w:cs="Times New Roman"/>
          <w:sz w:val="71"/>
          <w:szCs w:val="71"/>
          <w:lang w:eastAsia="zh-CN"/>
        </w:rPr>
        <w:sectPr>
          <w:footerReference r:id="rId3" w:type="default"/>
          <w:pgSz w:w="11906" w:h="16839"/>
          <w:pgMar w:top="1431" w:right="1785" w:bottom="1214" w:left="1785" w:header="0" w:footer="977" w:gutter="0"/>
          <w:pgNumType w:fmt="decimal"/>
          <w:cols w:space="720" w:num="1"/>
        </w:sectPr>
      </w:pPr>
    </w:p>
    <w:sdt>
      <w:sdtPr>
        <w:rPr>
          <w:rFonts w:hint="eastAsia" w:ascii="宋体" w:hAnsi="宋体" w:eastAsia="宋体" w:cs="宋体"/>
          <w:sz w:val="32"/>
          <w:szCs w:val="32"/>
        </w:rPr>
        <w:id w:val="147471162"/>
        <w15:color w:val="DBDBDB"/>
        <w:docPartObj>
          <w:docPartGallery w:val="Table of Contents"/>
          <w:docPartUnique/>
        </w:docPartObj>
      </w:sdtPr>
      <w:sdtEndPr>
        <w:rPr>
          <w:rFonts w:hint="default" w:ascii="Times New Roman" w:hAnsi="Times New Roman" w:eastAsia="仿宋_GB2312" w:cs="Times New Roman"/>
          <w:bCs/>
          <w:spacing w:val="-6"/>
          <w:sz w:val="32"/>
          <w:szCs w:val="32"/>
          <w:lang w:eastAsia="zh-CN"/>
        </w:rPr>
      </w:sdtEndPr>
      <w:sdtContent>
        <w:p w14:paraId="4FD11B0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32"/>
              <w:szCs w:val="32"/>
            </w:rPr>
          </w:pPr>
          <w:r>
            <w:rPr>
              <w:rFonts w:hint="eastAsia" w:ascii="宋体" w:hAnsi="宋体" w:eastAsia="宋体" w:cs="宋体"/>
              <w:sz w:val="32"/>
              <w:szCs w:val="32"/>
            </w:rPr>
            <w:t>目录</w:t>
          </w:r>
        </w:p>
        <w:p w14:paraId="463AFD96">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楷体_GB2312" w:hAnsi="楷体_GB2312" w:eastAsia="楷体_GB2312" w:cs="楷体_GB2312"/>
              <w:b/>
              <w:bCs/>
              <w:spacing w:val="-6"/>
              <w:sz w:val="28"/>
              <w:szCs w:val="28"/>
              <w:lang w:eastAsia="zh-CN"/>
            </w:rPr>
            <w:fldChar w:fldCharType="begin"/>
          </w:r>
          <w:r>
            <w:rPr>
              <w:rFonts w:hint="eastAsia" w:ascii="楷体_GB2312" w:hAnsi="楷体_GB2312" w:eastAsia="楷体_GB2312" w:cs="楷体_GB2312"/>
              <w:b/>
              <w:bCs/>
              <w:spacing w:val="-6"/>
              <w:sz w:val="28"/>
              <w:szCs w:val="28"/>
              <w:lang w:eastAsia="zh-CN"/>
            </w:rPr>
            <w:instrText xml:space="preserve">TOC \o "1-2" \h \u </w:instrText>
          </w:r>
          <w:r>
            <w:rPr>
              <w:rFonts w:hint="eastAsia" w:ascii="楷体_GB2312" w:hAnsi="楷体_GB2312" w:eastAsia="楷体_GB2312" w:cs="楷体_GB2312"/>
              <w:b/>
              <w:bCs/>
              <w:spacing w:val="-6"/>
              <w:sz w:val="28"/>
              <w:szCs w:val="28"/>
              <w:lang w:eastAsia="zh-CN"/>
            </w:rPr>
            <w:fldChar w:fldCharType="separate"/>
          </w: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_Toc17698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_Toc17698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E828896">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_Toc30909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_Toc30909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F423BA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_Toc7589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_Toc7589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9DEE1F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_Toc21751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_Toc21751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D2F339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_Toc19797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_Toc19797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19269A80">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_Toc6126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二、基本情况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_Toc6126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D009E6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_Toc12535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（一）自然地理情况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_Toc12535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4843730D">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_Toc32657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（二）旱灾概况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_Toc32657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61342173">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_Toc31249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三、组织指挥机构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_Toc31249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397AC4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_Toc32089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（一）指挥部组成及职责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_Toc32089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38BBF84">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_Toc27164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（二）专家组组成及职责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_Toc27164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CC2AD68">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_Toc4913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32"/>
              <w:lang w:val="en-US"/>
            </w:rPr>
            <w:t>四</w:t>
          </w:r>
          <w:r>
            <w:rPr>
              <w:rFonts w:hint="eastAsia" w:ascii="仿宋" w:hAnsi="仿宋" w:eastAsia="仿宋" w:cs="仿宋"/>
              <w:bCs w:val="0"/>
              <w:spacing w:val="0"/>
              <w:position w:val="0"/>
              <w:sz w:val="32"/>
              <w:szCs w:val="32"/>
            </w:rPr>
            <w:t>、</w:t>
          </w:r>
          <w:r>
            <w:rPr>
              <w:rFonts w:hint="eastAsia" w:ascii="仿宋" w:hAnsi="仿宋" w:eastAsia="仿宋" w:cs="仿宋"/>
              <w:bCs w:val="0"/>
              <w:spacing w:val="0"/>
              <w:position w:val="0"/>
              <w:sz w:val="32"/>
              <w:szCs w:val="32"/>
              <w:lang w:val="en-US"/>
            </w:rPr>
            <w:t>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_Toc4913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8CEDBF7">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_Toc4165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_Toc4165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28643624">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_Toc7360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val="en-US" w:bidi="ar-SA"/>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_Toc7360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F4346C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_Toc26142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val="en-US" w:bidi="ar-SA"/>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_Toc26142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A35D751">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_Toc4039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五、监测预警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_Toc4039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668ED282">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_Toc19184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val="en-US" w:bidi="ar-SA"/>
            </w:rPr>
            <w:t>（一）预防预警信息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_Toc19184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6E790F0">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_Toc21687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（二）预防预警信息发布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_Toc21687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B59EC4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_Toc6800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（三）预防预警行动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_Toc6800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AA03224">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_Toc8360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六、应急处置措施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_Toc8360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CCEE5A4">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_Toc17380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（一）应急响应的分级和总体要求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_Toc17380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4C3890B7">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_Toc17496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（二）抗旱Ⅳ级响应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_Toc17496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4B0DB5AC">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_Toc9333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（三）抗旱Ⅲ级响应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_Toc9333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45A073D6">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_Toc16353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（四）抗旱Ⅱ级响应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_Toc16353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63EAED5">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_Toc22986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（五）抗旱Ⅰ级响应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_Toc22986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E85A739">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_Toc10553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（六）基础应急响应措施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_Toc10553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2DC8BDF">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_Toc32349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七、信息报告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_Toc32349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52B1EF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_Toc9162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（一）信息报送和处理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_Toc9162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997E0D6">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_Toc14182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_Toc14182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689B2EF2">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_Toc22939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（三）指挥和调度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_Toc22939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414F4A0">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_Toc25041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（四）社会力量动员与参与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_Toc25041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FF190E6">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_Toc10974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（五）响应结束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_Toc10974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754370D1">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_Toc24604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（六）后期处置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_Toc24604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7653477">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_Toc12004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八、队伍物资保障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_Toc12004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57C45D8">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_Toc22513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（一）通信与信息保障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_Toc22513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5CC0268">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_Toc14793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（二）应急队伍与装备保障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_Toc14793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1857504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_Toc26035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_Toc26035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16AEC20">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_Toc29776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（四）物资保障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_Toc29776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63E35431">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_Toc15708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（五）应急备用水源准备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_Toc15708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4023A789">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_Toc16323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（六）技术保障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_Toc16323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6DC250A">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_Toc11098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九、附则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_Toc11098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0E2CAA8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_Toc11747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（一）预案编制、审查与审批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_Toc11747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2829916E">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_Toc15696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（二）宣传、培训与演习</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_Toc15696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EBEA8B4">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_Toc21789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（三）预案修订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_Toc21789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820F7CA">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_Toc23016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（五）预案实施时间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_Toc23016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27B1A476">
          <w:pPr>
            <w:pStyle w:val="10"/>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308" w:firstLineChars="1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_Toc19362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bCs w:val="0"/>
              <w:spacing w:val="0"/>
              <w:position w:val="0"/>
              <w:sz w:val="32"/>
              <w:szCs w:val="48"/>
              <w:lang w:eastAsia="zh-CN"/>
            </w:rPr>
            <w:t>（六）名词术语解释（定义）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_Toc19362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39435BED">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_Toc2067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position w:val="0"/>
              <w:sz w:val="32"/>
              <w:szCs w:val="48"/>
              <w:lang w:eastAsia="zh-CN"/>
            </w:rPr>
            <w:t>十、附件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_Toc2067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5E4EC4D8">
          <w:pPr>
            <w:pStyle w:val="9"/>
            <w:keepNext w:val="0"/>
            <w:keepLines w:val="0"/>
            <w:pageBreakBefore w:val="0"/>
            <w:widowControl/>
            <w:tabs>
              <w:tab w:val="right" w:leader="dot" w:pos="8801"/>
            </w:tabs>
            <w:kinsoku w:val="0"/>
            <w:wordWrap/>
            <w:overflowPunct/>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sz w:val="32"/>
              <w:szCs w:val="32"/>
            </w:rPr>
          </w:pPr>
          <w:r>
            <w:rPr>
              <w:rFonts w:hint="eastAsia" w:ascii="仿宋" w:hAnsi="仿宋" w:eastAsia="仿宋" w:cs="仿宋"/>
              <w:bCs/>
              <w:spacing w:val="-6"/>
              <w:sz w:val="32"/>
              <w:szCs w:val="44"/>
              <w:lang w:eastAsia="zh-CN"/>
            </w:rPr>
            <w:fldChar w:fldCharType="begin"/>
          </w:r>
          <w:r>
            <w:rPr>
              <w:rFonts w:hint="eastAsia" w:ascii="仿宋" w:hAnsi="仿宋" w:eastAsia="仿宋" w:cs="仿宋"/>
              <w:bCs/>
              <w:spacing w:val="-6"/>
              <w:sz w:val="32"/>
              <w:szCs w:val="44"/>
              <w:lang w:eastAsia="zh-CN"/>
            </w:rPr>
            <w:instrText xml:space="preserve"> HYPERLINK \l _Toc10265 </w:instrText>
          </w:r>
          <w:r>
            <w:rPr>
              <w:rFonts w:hint="eastAsia" w:ascii="仿宋" w:hAnsi="仿宋" w:eastAsia="仿宋" w:cs="仿宋"/>
              <w:bCs/>
              <w:spacing w:val="-6"/>
              <w:sz w:val="32"/>
              <w:szCs w:val="44"/>
              <w:lang w:eastAsia="zh-CN"/>
            </w:rPr>
            <w:fldChar w:fldCharType="separate"/>
          </w:r>
          <w:r>
            <w:rPr>
              <w:rFonts w:hint="eastAsia" w:ascii="仿宋" w:hAnsi="仿宋" w:eastAsia="仿宋" w:cs="仿宋"/>
              <w:spacing w:val="0"/>
              <w:sz w:val="32"/>
              <w:szCs w:val="48"/>
              <w:lang w:val="en-US" w:eastAsia="zh-CN"/>
            </w:rPr>
            <w:t xml:space="preserve">附件 </w:t>
          </w:r>
          <w:r>
            <w:rPr>
              <w:rFonts w:hint="eastAsia" w:ascii="仿宋" w:hAnsi="仿宋" w:eastAsia="仿宋" w:cs="仿宋"/>
              <w:bCs w:val="0"/>
              <w:snapToGrid w:val="0"/>
              <w:spacing w:val="0"/>
              <w:sz w:val="32"/>
              <w:szCs w:val="60"/>
              <w:lang w:val="en-US" w:eastAsia="zh-CN" w:bidi="ar-SA"/>
            </w:rPr>
            <w:t>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_Toc10265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6"/>
              <w:sz w:val="32"/>
              <w:szCs w:val="44"/>
              <w:lang w:eastAsia="zh-CN"/>
            </w:rPr>
            <w:fldChar w:fldCharType="end"/>
          </w:r>
        </w:p>
        <w:p w14:paraId="2170F708">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ascii="Times New Roman" w:hAnsi="Times New Roman" w:eastAsia="仿宋_GB2312" w:cs="Times New Roman"/>
              <w:bCs/>
              <w:spacing w:val="-6"/>
              <w:sz w:val="32"/>
              <w:szCs w:val="32"/>
              <w:lang w:eastAsia="zh-CN"/>
            </w:rPr>
            <w:sectPr>
              <w:footerReference r:id="rId4" w:type="default"/>
              <w:pgSz w:w="11906" w:h="16839"/>
              <w:pgMar w:top="1431" w:right="1507" w:bottom="1355" w:left="1598" w:header="0" w:footer="1119" w:gutter="0"/>
              <w:pgNumType w:fmt="decimal" w:start="1"/>
              <w:cols w:space="720" w:num="1"/>
            </w:sectPr>
          </w:pPr>
          <w:r>
            <w:rPr>
              <w:rFonts w:hint="eastAsia" w:ascii="楷体_GB2312" w:hAnsi="楷体_GB2312" w:eastAsia="楷体_GB2312" w:cs="楷体_GB2312"/>
              <w:bCs/>
              <w:spacing w:val="-6"/>
              <w:szCs w:val="28"/>
              <w:lang w:eastAsia="zh-CN"/>
            </w:rPr>
            <w:fldChar w:fldCharType="end"/>
          </w:r>
        </w:p>
      </w:sdtContent>
    </w:sdt>
    <w:p w14:paraId="754CA5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position w:val="0"/>
          <w:sz w:val="32"/>
          <w:szCs w:val="32"/>
          <w:lang w:eastAsia="zh-CN"/>
        </w:rPr>
      </w:pPr>
      <w:bookmarkStart w:id="0" w:name="_Toc17698"/>
      <w:r>
        <w:rPr>
          <w:rFonts w:hint="eastAsia" w:ascii="黑体" w:hAnsi="黑体" w:eastAsia="黑体" w:cs="黑体"/>
          <w:spacing w:val="0"/>
          <w:position w:val="0"/>
          <w:sz w:val="32"/>
          <w:szCs w:val="32"/>
          <w:lang w:eastAsia="zh-CN"/>
        </w:rPr>
        <w:t>一、总则</w:t>
      </w:r>
      <w:bookmarkEnd w:id="0"/>
    </w:p>
    <w:p w14:paraId="186C06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position w:val="0"/>
          <w:sz w:val="32"/>
          <w:szCs w:val="32"/>
          <w:lang w:eastAsia="zh-CN"/>
        </w:rPr>
      </w:pPr>
      <w:bookmarkStart w:id="1" w:name="_Toc30909"/>
      <w:r>
        <w:rPr>
          <w:rFonts w:hint="eastAsia" w:ascii="楷体" w:hAnsi="楷体" w:eastAsia="楷体" w:cs="楷体"/>
          <w:b w:val="0"/>
          <w:bCs w:val="0"/>
          <w:spacing w:val="0"/>
          <w:position w:val="0"/>
          <w:sz w:val="32"/>
          <w:szCs w:val="32"/>
          <w:lang w:eastAsia="zh-CN"/>
        </w:rPr>
        <w:t>（一）编制目的</w:t>
      </w:r>
      <w:bookmarkEnd w:id="1"/>
    </w:p>
    <w:p w14:paraId="03461C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position w:val="0"/>
          <w:sz w:val="32"/>
          <w:szCs w:val="32"/>
          <w:lang w:eastAsia="zh-CN"/>
        </w:rPr>
      </w:pPr>
      <w:r>
        <w:rPr>
          <w:rFonts w:hint="eastAsia" w:ascii="仿宋" w:hAnsi="仿宋" w:eastAsia="仿宋" w:cs="仿宋"/>
          <w:spacing w:val="0"/>
          <w:position w:val="0"/>
          <w:sz w:val="32"/>
          <w:szCs w:val="32"/>
          <w:lang w:eastAsia="zh-CN"/>
        </w:rPr>
        <w:t>为预防和减轻</w:t>
      </w:r>
      <w:r>
        <w:rPr>
          <w:rFonts w:hint="eastAsia" w:ascii="仿宋" w:hAnsi="仿宋" w:eastAsia="仿宋" w:cs="仿宋"/>
          <w:color w:val="auto"/>
          <w:spacing w:val="0"/>
          <w:position w:val="0"/>
          <w:sz w:val="32"/>
          <w:szCs w:val="32"/>
          <w:lang w:eastAsia="zh-CN"/>
        </w:rPr>
        <w:t>向阳区</w:t>
      </w:r>
      <w:r>
        <w:rPr>
          <w:rFonts w:hint="eastAsia" w:ascii="仿宋" w:hAnsi="仿宋" w:eastAsia="仿宋" w:cs="仿宋"/>
          <w:spacing w:val="0"/>
          <w:position w:val="0"/>
          <w:sz w:val="32"/>
          <w:szCs w:val="32"/>
          <w:lang w:eastAsia="zh-CN"/>
        </w:rPr>
        <w:t>干旱灾害及其造成的损失，增强干旱灾害风险意识，提高抗旱应变能力和抗旱主动性，实现科学防灾和抗灾，使干旱灾害处于可控状态，保证抗旱救灾工作高效有序进行，最大程度地减少因干旱灾害引起的损失，进一步推动抗旱工作制度化和规范化，特编制本预案。</w:t>
      </w:r>
    </w:p>
    <w:p w14:paraId="33B03F2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spacing w:val="0"/>
          <w:position w:val="0"/>
          <w:sz w:val="32"/>
          <w:szCs w:val="32"/>
          <w:lang w:eastAsia="zh-CN"/>
        </w:rPr>
      </w:pPr>
      <w:bookmarkStart w:id="2" w:name="_Toc7589"/>
      <w:r>
        <w:rPr>
          <w:rFonts w:ascii="楷体" w:hAnsi="楷体" w:eastAsia="楷体" w:cs="楷体"/>
          <w:b w:val="0"/>
          <w:bCs w:val="0"/>
          <w:spacing w:val="0"/>
          <w:position w:val="0"/>
          <w:sz w:val="32"/>
          <w:szCs w:val="32"/>
          <w:lang w:eastAsia="zh-CN"/>
        </w:rPr>
        <w:t>（二）编制依据</w:t>
      </w:r>
      <w:bookmarkEnd w:id="2"/>
    </w:p>
    <w:p w14:paraId="0B746A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bookmarkStart w:id="54" w:name="_GoBack"/>
      <w:r>
        <w:rPr>
          <w:rFonts w:hint="eastAsia" w:ascii="仿宋" w:hAnsi="仿宋" w:eastAsia="仿宋" w:cs="仿宋"/>
          <w:color w:val="auto"/>
          <w:spacing w:val="0"/>
          <w:position w:val="0"/>
          <w:sz w:val="32"/>
          <w:szCs w:val="32"/>
          <w:lang w:eastAsia="zh-CN"/>
        </w:rPr>
        <w:t>1.《中华人民共和国突发事件应对法》（主席令第25号）</w:t>
      </w:r>
    </w:p>
    <w:p w14:paraId="0C1D26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2.《中华人民共和国水法》（第十二届全国人民代表大会常务委员会第二十一次会议修正）（主席令第74号）</w:t>
      </w:r>
    </w:p>
    <w:p w14:paraId="5554B2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3.《中华人民共和国水土保持法》（主席令第49号）</w:t>
      </w:r>
    </w:p>
    <w:p w14:paraId="2D53522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4.《中华人民共和国抗旱条例》（国务院令第552号）</w:t>
      </w:r>
    </w:p>
    <w:p w14:paraId="09E7DF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w:t>
      </w:r>
      <w:r>
        <w:rPr>
          <w:rFonts w:hint="eastAsia" w:ascii="仿宋" w:hAnsi="仿宋" w:eastAsia="仿宋" w:cs="仿宋"/>
          <w:color w:val="auto"/>
          <w:spacing w:val="0"/>
          <w:position w:val="0"/>
          <w:sz w:val="32"/>
          <w:szCs w:val="32"/>
          <w:lang w:val="en-US" w:eastAsia="zh-CN"/>
        </w:rPr>
        <w:t>《黑龙江省人民政府办公厅关于印发〈黑龙江省突发事件应急预案管理办法〉的通知》（黑政办发〔2024〕12号）</w:t>
      </w:r>
    </w:p>
    <w:p w14:paraId="75E475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highlight w:val="none"/>
          <w:lang w:eastAsia="zh-CN"/>
        </w:rPr>
      </w:pPr>
      <w:r>
        <w:rPr>
          <w:rFonts w:hint="eastAsia" w:ascii="仿宋" w:hAnsi="仿宋" w:eastAsia="仿宋" w:cs="仿宋"/>
          <w:color w:val="auto"/>
          <w:spacing w:val="0"/>
          <w:position w:val="0"/>
          <w:sz w:val="32"/>
          <w:szCs w:val="32"/>
          <w:highlight w:val="none"/>
          <w:lang w:eastAsia="zh-CN"/>
        </w:rPr>
        <w:t>6.《</w:t>
      </w:r>
      <w:r>
        <w:rPr>
          <w:rFonts w:hint="eastAsia" w:ascii="仿宋" w:hAnsi="仿宋" w:eastAsia="仿宋" w:cs="仿宋"/>
          <w:color w:val="auto"/>
          <w:spacing w:val="0"/>
          <w:position w:val="0"/>
          <w:sz w:val="32"/>
          <w:szCs w:val="32"/>
          <w:highlight w:val="none"/>
          <w:lang w:val="en-US" w:eastAsia="zh-CN"/>
        </w:rPr>
        <w:t>佳木斯市人民政府办公室关于印发〈佳木斯市防汛应急预案等7部应急预案〉的通知</w:t>
      </w:r>
      <w:r>
        <w:rPr>
          <w:rFonts w:hint="eastAsia" w:ascii="仿宋" w:hAnsi="仿宋" w:eastAsia="仿宋" w:cs="仿宋"/>
          <w:color w:val="auto"/>
          <w:spacing w:val="0"/>
          <w:position w:val="0"/>
          <w:sz w:val="32"/>
          <w:szCs w:val="32"/>
          <w:highlight w:val="none"/>
          <w:lang w:eastAsia="zh-CN"/>
        </w:rPr>
        <w:t>》（佳政办规〔2021〕4号）</w:t>
      </w:r>
    </w:p>
    <w:p w14:paraId="588AA96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7.《佳木斯市向阳区突发事件总体应急预案》</w:t>
      </w:r>
    </w:p>
    <w:p w14:paraId="5A90BF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 w:name="_Toc21751"/>
      <w:r>
        <w:rPr>
          <w:rFonts w:ascii="楷体" w:hAnsi="楷体" w:eastAsia="楷体" w:cs="楷体"/>
          <w:b w:val="0"/>
          <w:bCs w:val="0"/>
          <w:color w:val="auto"/>
          <w:spacing w:val="0"/>
          <w:position w:val="0"/>
          <w:sz w:val="32"/>
          <w:szCs w:val="32"/>
          <w:lang w:eastAsia="zh-CN"/>
        </w:rPr>
        <w:t>（三）适用范围</w:t>
      </w:r>
      <w:bookmarkEnd w:id="3"/>
    </w:p>
    <w:p w14:paraId="7DFF887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本预案适用于向阳区范围内发生的农业干旱、城镇供水危机、生态干旱等干旱灾害的预防和应急处置。</w:t>
      </w:r>
    </w:p>
    <w:p w14:paraId="4F22C5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 w:name="_Toc19797"/>
      <w:r>
        <w:rPr>
          <w:rFonts w:ascii="楷体" w:hAnsi="楷体" w:eastAsia="楷体" w:cs="楷体"/>
          <w:b w:val="0"/>
          <w:bCs w:val="0"/>
          <w:color w:val="auto"/>
          <w:spacing w:val="0"/>
          <w:position w:val="0"/>
          <w:sz w:val="32"/>
          <w:szCs w:val="32"/>
          <w:lang w:eastAsia="zh-CN"/>
        </w:rPr>
        <w:t>（四）工作原则</w:t>
      </w:r>
      <w:bookmarkEnd w:id="4"/>
    </w:p>
    <w:p w14:paraId="04072BB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1.坚持政府统一领导、分级管理、部门分工负责、单位自救和社会救援相结合的原则。</w:t>
      </w:r>
    </w:p>
    <w:p w14:paraId="22259E9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2.遵循以人为本，以城乡供水安全、粮食生产安全为首要目标。</w:t>
      </w:r>
    </w:p>
    <w:p w14:paraId="1842ECA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3.按照流域或区域统一规划，坚持因地制宜，城乡统筹，突出重点，兼顾一般，局部利益服从全局利益的原则。</w:t>
      </w:r>
    </w:p>
    <w:p w14:paraId="5A7D0FD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4.抗旱用水以水资源承载能力为基础，实行先生活、后生产，先地表、后地下，先节水、后调水，科学调度，优化配置的原则。</w:t>
      </w:r>
    </w:p>
    <w:p w14:paraId="0AD68BA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5" w:name="_Toc6126"/>
      <w:r>
        <w:rPr>
          <w:rFonts w:hint="eastAsia" w:ascii="黑体" w:hAnsi="黑体" w:eastAsia="黑体" w:cs="黑体"/>
          <w:color w:val="auto"/>
          <w:spacing w:val="0"/>
          <w:position w:val="0"/>
          <w:sz w:val="32"/>
          <w:szCs w:val="32"/>
          <w:lang w:eastAsia="zh-CN"/>
        </w:rPr>
        <w:t>二、基本情况</w:t>
      </w:r>
      <w:bookmarkEnd w:id="5"/>
    </w:p>
    <w:p w14:paraId="63B804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6" w:name="_Toc12535"/>
      <w:r>
        <w:rPr>
          <w:rFonts w:ascii="楷体" w:hAnsi="楷体" w:eastAsia="楷体" w:cs="楷体"/>
          <w:b w:val="0"/>
          <w:bCs w:val="0"/>
          <w:color w:val="auto"/>
          <w:spacing w:val="0"/>
          <w:position w:val="0"/>
          <w:sz w:val="32"/>
          <w:szCs w:val="32"/>
          <w:lang w:eastAsia="zh-CN"/>
        </w:rPr>
        <w:t>（一）自然地理情况</w:t>
      </w:r>
      <w:bookmarkEnd w:id="6"/>
    </w:p>
    <w:p w14:paraId="2584CD8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1.地理位置</w:t>
      </w:r>
    </w:p>
    <w:p w14:paraId="490DDF4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向阳区位于佳木斯市中心区域，西起红旗街、万新街，东至中山街，南起同三高速公路，北至松花江（柳树岛）。辖区总面积38平方公里，人口29.5万，辖5个街道办事处、30个社区、5个行政村和3个柳树岛自然屯。</w:t>
      </w:r>
    </w:p>
    <w:p w14:paraId="6F28C1F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2.地形地貌</w:t>
      </w:r>
    </w:p>
    <w:p w14:paraId="09A60F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向阳区属于中温带大陆性季风气候，雨热同期。冬长夏短，无霜期140天左右，年平均降水量527毫米，日照时数2525小时，有效积温2590℃。全区均属三江平原内，北临松花江，区内地势平坦。</w:t>
      </w:r>
    </w:p>
    <w:p w14:paraId="429E21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7" w:name="_Toc32657"/>
      <w:r>
        <w:rPr>
          <w:rFonts w:ascii="楷体" w:hAnsi="楷体" w:eastAsia="楷体" w:cs="楷体"/>
          <w:b w:val="0"/>
          <w:bCs w:val="0"/>
          <w:color w:val="auto"/>
          <w:spacing w:val="0"/>
          <w:position w:val="0"/>
          <w:sz w:val="32"/>
          <w:szCs w:val="32"/>
          <w:lang w:eastAsia="zh-CN"/>
        </w:rPr>
        <w:t>（二）旱灾概况</w:t>
      </w:r>
      <w:bookmarkEnd w:id="7"/>
    </w:p>
    <w:p w14:paraId="4772496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干旱的成因有三点：</w:t>
      </w:r>
      <w:r>
        <w:rPr>
          <w:rFonts w:hint="eastAsia" w:ascii="仿宋" w:hAnsi="仿宋" w:eastAsia="仿宋" w:cs="仿宋"/>
          <w:b/>
          <w:bCs/>
          <w:color w:val="auto"/>
          <w:spacing w:val="0"/>
          <w:position w:val="0"/>
          <w:sz w:val="32"/>
          <w:szCs w:val="32"/>
          <w:lang w:eastAsia="zh-CN"/>
        </w:rPr>
        <w:t>一是</w:t>
      </w:r>
      <w:r>
        <w:rPr>
          <w:rFonts w:hint="eastAsia" w:ascii="仿宋" w:hAnsi="仿宋" w:eastAsia="仿宋" w:cs="仿宋"/>
          <w:color w:val="auto"/>
          <w:spacing w:val="0"/>
          <w:position w:val="0"/>
          <w:sz w:val="32"/>
          <w:szCs w:val="32"/>
          <w:lang w:eastAsia="zh-CN"/>
        </w:rPr>
        <w:t>气候条件；</w:t>
      </w:r>
      <w:r>
        <w:rPr>
          <w:rFonts w:hint="eastAsia" w:ascii="仿宋" w:hAnsi="仿宋" w:eastAsia="仿宋" w:cs="仿宋"/>
          <w:b/>
          <w:bCs/>
          <w:color w:val="auto"/>
          <w:spacing w:val="0"/>
          <w:position w:val="0"/>
          <w:sz w:val="32"/>
          <w:szCs w:val="32"/>
          <w:lang w:eastAsia="zh-CN"/>
        </w:rPr>
        <w:t>二是</w:t>
      </w:r>
      <w:r>
        <w:rPr>
          <w:rFonts w:hint="eastAsia" w:ascii="仿宋" w:hAnsi="仿宋" w:eastAsia="仿宋" w:cs="仿宋"/>
          <w:b w:val="0"/>
          <w:bCs w:val="0"/>
          <w:color w:val="auto"/>
          <w:spacing w:val="0"/>
          <w:position w:val="0"/>
          <w:sz w:val="32"/>
          <w:szCs w:val="32"/>
          <w:lang w:eastAsia="zh-CN"/>
        </w:rPr>
        <w:t>土</w:t>
      </w:r>
      <w:r>
        <w:rPr>
          <w:rFonts w:hint="eastAsia" w:ascii="仿宋" w:hAnsi="仿宋" w:eastAsia="仿宋" w:cs="仿宋"/>
          <w:color w:val="auto"/>
          <w:spacing w:val="0"/>
          <w:position w:val="0"/>
          <w:sz w:val="32"/>
          <w:szCs w:val="32"/>
          <w:lang w:eastAsia="zh-CN"/>
        </w:rPr>
        <w:t>壤条件；</w:t>
      </w:r>
      <w:r>
        <w:rPr>
          <w:rFonts w:hint="eastAsia" w:ascii="仿宋" w:hAnsi="仿宋" w:eastAsia="仿宋" w:cs="仿宋"/>
          <w:b/>
          <w:bCs/>
          <w:color w:val="auto"/>
          <w:spacing w:val="0"/>
          <w:position w:val="0"/>
          <w:sz w:val="32"/>
          <w:szCs w:val="32"/>
          <w:lang w:eastAsia="zh-CN"/>
        </w:rPr>
        <w:t>三是</w:t>
      </w:r>
      <w:r>
        <w:rPr>
          <w:rFonts w:hint="eastAsia" w:ascii="仿宋" w:hAnsi="仿宋" w:eastAsia="仿宋" w:cs="仿宋"/>
          <w:color w:val="auto"/>
          <w:spacing w:val="0"/>
          <w:position w:val="0"/>
          <w:sz w:val="32"/>
          <w:szCs w:val="32"/>
          <w:lang w:eastAsia="zh-CN"/>
        </w:rPr>
        <w:t>地形条件。</w:t>
      </w:r>
    </w:p>
    <w:p w14:paraId="067771E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向阳区属于中温带大陆性季风气候区，夏季受东南亚季风影响，冬季受西伯利亚冷气团控制，主要气候特点为：冬季严寒少雨雪，春季风大易干旱，夏季炎热雨量集中，秋季凉爽降温快。大气降水是水资源的总补给源，降水量变化大。</w:t>
      </w:r>
    </w:p>
    <w:p w14:paraId="2F59713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8" w:name="_Toc31249"/>
      <w:r>
        <w:rPr>
          <w:rFonts w:hint="eastAsia" w:ascii="黑体" w:hAnsi="黑体" w:eastAsia="黑体" w:cs="黑体"/>
          <w:color w:val="auto"/>
          <w:spacing w:val="0"/>
          <w:position w:val="0"/>
          <w:sz w:val="32"/>
          <w:szCs w:val="32"/>
          <w:lang w:eastAsia="zh-CN"/>
        </w:rPr>
        <w:t>三、组织指挥机构</w:t>
      </w:r>
      <w:bookmarkEnd w:id="8"/>
    </w:p>
    <w:p w14:paraId="155899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9" w:name="_Toc32089"/>
      <w:r>
        <w:rPr>
          <w:rFonts w:ascii="楷体" w:hAnsi="楷体" w:eastAsia="楷体" w:cs="楷体"/>
          <w:b w:val="0"/>
          <w:bCs w:val="0"/>
          <w:color w:val="auto"/>
          <w:spacing w:val="0"/>
          <w:position w:val="0"/>
          <w:sz w:val="32"/>
          <w:szCs w:val="32"/>
          <w:lang w:eastAsia="zh-CN"/>
        </w:rPr>
        <w:t>（一）指挥部组成及职责</w:t>
      </w:r>
      <w:bookmarkEnd w:id="9"/>
    </w:p>
    <w:p w14:paraId="03150D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区政府成立防汛抗旱指挥部，负责干旱灾害突发事件应对处置工作。</w:t>
      </w:r>
    </w:p>
    <w:p w14:paraId="1F347A1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highlight w:val="none"/>
          <w:lang w:val="en-US"/>
        </w:rPr>
      </w:pPr>
      <w:r>
        <w:rPr>
          <w:rFonts w:hint="eastAsia" w:ascii="仿宋" w:hAnsi="仿宋" w:eastAsia="仿宋" w:cs="仿宋"/>
          <w:color w:val="auto"/>
          <w:spacing w:val="0"/>
          <w:position w:val="0"/>
          <w:sz w:val="32"/>
          <w:szCs w:val="32"/>
          <w:highlight w:val="none"/>
          <w:lang w:val="en-US"/>
        </w:rPr>
        <w:t>总</w:t>
      </w:r>
      <w:r>
        <w:rPr>
          <w:rFonts w:hint="eastAsia" w:ascii="仿宋" w:hAnsi="仿宋" w:eastAsia="仿宋" w:cs="仿宋"/>
          <w:color w:val="auto"/>
          <w:spacing w:val="0"/>
          <w:position w:val="0"/>
          <w:sz w:val="32"/>
          <w:szCs w:val="32"/>
          <w:highlight w:val="none"/>
          <w:lang w:val="en-US" w:eastAsia="zh-CN"/>
        </w:rPr>
        <w:t xml:space="preserve"> </w:t>
      </w:r>
      <w:r>
        <w:rPr>
          <w:rFonts w:hint="eastAsia" w:ascii="仿宋" w:hAnsi="仿宋" w:eastAsia="仿宋" w:cs="仿宋"/>
          <w:color w:val="auto"/>
          <w:spacing w:val="0"/>
          <w:position w:val="0"/>
          <w:sz w:val="32"/>
          <w:szCs w:val="32"/>
          <w:highlight w:val="none"/>
          <w:lang w:val="en-US"/>
        </w:rPr>
        <w:t>指</w:t>
      </w:r>
      <w:r>
        <w:rPr>
          <w:rFonts w:hint="eastAsia" w:ascii="仿宋" w:hAnsi="仿宋" w:eastAsia="仿宋" w:cs="仿宋"/>
          <w:color w:val="auto"/>
          <w:spacing w:val="0"/>
          <w:position w:val="0"/>
          <w:sz w:val="32"/>
          <w:szCs w:val="32"/>
          <w:highlight w:val="none"/>
          <w:lang w:val="en-US" w:eastAsia="zh-CN"/>
        </w:rPr>
        <w:t xml:space="preserve"> </w:t>
      </w:r>
      <w:r>
        <w:rPr>
          <w:rFonts w:hint="eastAsia" w:ascii="仿宋" w:hAnsi="仿宋" w:eastAsia="仿宋" w:cs="仿宋"/>
          <w:color w:val="auto"/>
          <w:spacing w:val="0"/>
          <w:position w:val="0"/>
          <w:sz w:val="32"/>
          <w:szCs w:val="32"/>
          <w:highlight w:val="none"/>
          <w:lang w:val="en-US"/>
        </w:rPr>
        <w:t>挥：</w:t>
      </w:r>
      <w:r>
        <w:rPr>
          <w:rFonts w:hint="eastAsia" w:ascii="仿宋" w:hAnsi="仿宋" w:eastAsia="仿宋" w:cs="仿宋"/>
          <w:snapToGrid/>
          <w:color w:val="auto"/>
          <w:spacing w:val="0"/>
          <w:position w:val="0"/>
          <w:sz w:val="32"/>
          <w:szCs w:val="32"/>
          <w:highlight w:val="none"/>
          <w:lang w:val="zh-CN" w:eastAsia="zh-CN" w:bidi="zh-CN"/>
        </w:rPr>
        <w:t>区委副书记、区长</w:t>
      </w:r>
    </w:p>
    <w:p w14:paraId="0E3706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position w:val="0"/>
          <w:sz w:val="32"/>
          <w:szCs w:val="32"/>
          <w:highlight w:val="none"/>
          <w:lang w:val="en-US"/>
        </w:rPr>
      </w:pPr>
      <w:r>
        <w:rPr>
          <w:rFonts w:hint="eastAsia" w:ascii="仿宋" w:hAnsi="仿宋" w:eastAsia="仿宋" w:cs="仿宋"/>
          <w:color w:val="auto"/>
          <w:spacing w:val="0"/>
          <w:position w:val="0"/>
          <w:sz w:val="32"/>
          <w:szCs w:val="32"/>
          <w:highlight w:val="none"/>
          <w:lang w:val="en-US"/>
        </w:rPr>
        <w:t>副总指挥：</w:t>
      </w:r>
      <w:r>
        <w:rPr>
          <w:rFonts w:hint="eastAsia" w:ascii="仿宋" w:hAnsi="仿宋" w:eastAsia="仿宋" w:cs="仿宋"/>
          <w:snapToGrid/>
          <w:color w:val="auto"/>
          <w:spacing w:val="0"/>
          <w:position w:val="0"/>
          <w:sz w:val="32"/>
          <w:szCs w:val="32"/>
          <w:lang w:val="zh-CN" w:eastAsia="zh-CN" w:bidi="zh-CN"/>
        </w:rPr>
        <w:t>区委常委、常务副区长</w:t>
      </w:r>
    </w:p>
    <w:p w14:paraId="648CE2CD">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2240" w:firstLineChars="700"/>
        <w:jc w:val="both"/>
        <w:textAlignment w:val="auto"/>
        <w:rPr>
          <w:rFonts w:hint="eastAsia" w:ascii="仿宋" w:hAnsi="仿宋" w:eastAsia="仿宋" w:cs="仿宋"/>
          <w:snapToGrid/>
          <w:color w:val="auto"/>
          <w:spacing w:val="0"/>
          <w:position w:val="0"/>
          <w:sz w:val="32"/>
          <w:szCs w:val="32"/>
          <w:lang w:val="zh-CN" w:eastAsia="zh-CN" w:bidi="zh-CN"/>
        </w:rPr>
      </w:pPr>
      <w:r>
        <w:rPr>
          <w:rFonts w:hint="eastAsia" w:ascii="仿宋" w:hAnsi="仿宋" w:eastAsia="仿宋" w:cs="仿宋"/>
          <w:snapToGrid/>
          <w:color w:val="auto"/>
          <w:spacing w:val="0"/>
          <w:position w:val="0"/>
          <w:sz w:val="32"/>
          <w:szCs w:val="32"/>
          <w:lang w:val="zh-CN" w:eastAsia="zh-CN" w:bidi="zh-CN"/>
        </w:rPr>
        <w:t>主管农业副区长</w:t>
      </w:r>
    </w:p>
    <w:p w14:paraId="2E727091">
      <w:pPr>
        <w:keepNext w:val="0"/>
        <w:keepLines w:val="0"/>
        <w:pageBreakBefore w:val="0"/>
        <w:widowControl w:val="0"/>
        <w:kinsoku/>
        <w:wordWrap/>
        <w:overflowPunct/>
        <w:topLinePunct w:val="0"/>
        <w:autoSpaceDE w:val="0"/>
        <w:autoSpaceDN w:val="0"/>
        <w:bidi w:val="0"/>
        <w:adjustRightInd/>
        <w:snapToGrid/>
        <w:spacing w:line="560" w:lineRule="exact"/>
        <w:ind w:firstLine="2240" w:firstLineChars="700"/>
        <w:jc w:val="both"/>
        <w:textAlignment w:val="auto"/>
        <w:rPr>
          <w:rFonts w:hint="eastAsia" w:ascii="仿宋" w:hAnsi="仿宋" w:eastAsia="仿宋" w:cs="仿宋"/>
          <w:color w:val="auto"/>
          <w:spacing w:val="0"/>
          <w:position w:val="0"/>
          <w:sz w:val="32"/>
          <w:szCs w:val="32"/>
          <w:highlight w:val="none"/>
          <w:lang w:val="en-US" w:eastAsia="zh-CN"/>
        </w:rPr>
      </w:pPr>
      <w:r>
        <w:rPr>
          <w:rFonts w:hint="eastAsia" w:ascii="仿宋" w:hAnsi="仿宋" w:eastAsia="仿宋" w:cs="仿宋"/>
          <w:color w:val="auto"/>
          <w:spacing w:val="0"/>
          <w:position w:val="0"/>
          <w:sz w:val="32"/>
          <w:szCs w:val="32"/>
          <w:highlight w:val="none"/>
          <w:lang w:val="en-US" w:eastAsia="zh-CN"/>
        </w:rPr>
        <w:t>区应急局局长</w:t>
      </w:r>
    </w:p>
    <w:p w14:paraId="0F10FAB1">
      <w:pPr>
        <w:keepNext w:val="0"/>
        <w:keepLines w:val="0"/>
        <w:pageBreakBefore w:val="0"/>
        <w:widowControl w:val="0"/>
        <w:kinsoku/>
        <w:wordWrap/>
        <w:overflowPunct/>
        <w:topLinePunct w:val="0"/>
        <w:autoSpaceDE w:val="0"/>
        <w:autoSpaceDN w:val="0"/>
        <w:bidi w:val="0"/>
        <w:adjustRightInd/>
        <w:snapToGrid/>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color w:val="auto"/>
          <w:spacing w:val="0"/>
          <w:position w:val="0"/>
          <w:sz w:val="32"/>
          <w:szCs w:val="32"/>
          <w:highlight w:val="none"/>
          <w:lang w:val="en-US" w:eastAsia="zh-CN"/>
        </w:rPr>
        <w:t>区水务局</w:t>
      </w:r>
      <w:r>
        <w:rPr>
          <w:rFonts w:hint="eastAsia" w:ascii="仿宋" w:hAnsi="仿宋" w:eastAsia="仿宋" w:cs="仿宋"/>
          <w:color w:val="auto"/>
          <w:spacing w:val="0"/>
          <w:position w:val="0"/>
          <w:sz w:val="32"/>
          <w:szCs w:val="32"/>
          <w:highlight w:val="none"/>
          <w:lang w:val="en-US"/>
        </w:rPr>
        <w:t>局长</w:t>
      </w:r>
    </w:p>
    <w:p w14:paraId="54B819F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主要成员：区委宣传部</w:t>
      </w:r>
    </w:p>
    <w:p w14:paraId="44802ED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区应急局</w:t>
      </w:r>
    </w:p>
    <w:p w14:paraId="7D03C68C">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区水务局</w:t>
      </w:r>
    </w:p>
    <w:p w14:paraId="737FB41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区发改局</w:t>
      </w:r>
    </w:p>
    <w:p w14:paraId="71269E1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区工信局</w:t>
      </w:r>
    </w:p>
    <w:p w14:paraId="05CADEA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区教育局</w:t>
      </w:r>
    </w:p>
    <w:p w14:paraId="04FFD41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区民政局</w:t>
      </w:r>
    </w:p>
    <w:p w14:paraId="681416C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区财政局</w:t>
      </w:r>
    </w:p>
    <w:p w14:paraId="0F1248B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区住建局</w:t>
      </w:r>
    </w:p>
    <w:p w14:paraId="483AF875">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自然资源和规划局一分局</w:t>
      </w:r>
    </w:p>
    <w:p w14:paraId="7C42D30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区商务局</w:t>
      </w:r>
    </w:p>
    <w:p w14:paraId="1520B321">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区文旅局</w:t>
      </w:r>
    </w:p>
    <w:p w14:paraId="4A91C47D">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区卫健局</w:t>
      </w:r>
    </w:p>
    <w:p w14:paraId="4290B87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区市场局</w:t>
      </w:r>
    </w:p>
    <w:p w14:paraId="307ADB6E">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向阳公安分局</w:t>
      </w:r>
    </w:p>
    <w:p w14:paraId="66DCD016">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向阳交警大队</w:t>
      </w:r>
    </w:p>
    <w:p w14:paraId="192D38D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区消防救援大队</w:t>
      </w:r>
    </w:p>
    <w:p w14:paraId="7D48FBC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区政府办</w:t>
      </w:r>
    </w:p>
    <w:p w14:paraId="4CFDB9D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区营商局</w:t>
      </w:r>
    </w:p>
    <w:p w14:paraId="7E7780F8">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区审计局</w:t>
      </w:r>
    </w:p>
    <w:p w14:paraId="16DAA59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向阳生态环境局</w:t>
      </w:r>
    </w:p>
    <w:p w14:paraId="41FD03F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区人社局</w:t>
      </w:r>
    </w:p>
    <w:p w14:paraId="5D428149">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区信访局</w:t>
      </w:r>
    </w:p>
    <w:p w14:paraId="117C4E0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区退役军人事务局</w:t>
      </w:r>
    </w:p>
    <w:p w14:paraId="213CCA82">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区城管局</w:t>
      </w:r>
    </w:p>
    <w:p w14:paraId="6DAD4203">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各街道办事处</w:t>
      </w:r>
    </w:p>
    <w:p w14:paraId="1B8528BB">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b/>
          <w:bCs/>
          <w:color w:val="auto"/>
          <w:spacing w:val="0"/>
          <w:position w:val="0"/>
          <w:sz w:val="32"/>
          <w:szCs w:val="32"/>
          <w:lang w:eastAsia="zh-CN"/>
        </w:rPr>
      </w:pPr>
      <w:r>
        <w:rPr>
          <w:rFonts w:hint="eastAsia" w:ascii="仿宋" w:hAnsi="仿宋" w:eastAsia="仿宋" w:cs="仿宋"/>
          <w:snapToGrid w:val="0"/>
          <w:color w:val="auto"/>
          <w:spacing w:val="0"/>
          <w:position w:val="0"/>
          <w:sz w:val="32"/>
          <w:szCs w:val="32"/>
          <w:lang w:val="en-US" w:eastAsia="zh-CN" w:bidi="ar-SA"/>
        </w:rPr>
        <w:t>各村屯</w:t>
      </w:r>
    </w:p>
    <w:p w14:paraId="010912C4">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position w:val="0"/>
          <w:sz w:val="32"/>
          <w:szCs w:val="32"/>
          <w:lang w:val="en-US" w:eastAsia="zh-CN" w:bidi="ar-SA"/>
        </w:rPr>
      </w:pPr>
      <w:r>
        <w:rPr>
          <w:rFonts w:hint="eastAsia" w:ascii="仿宋" w:hAnsi="仿宋" w:eastAsia="仿宋" w:cs="仿宋"/>
          <w:snapToGrid w:val="0"/>
          <w:color w:val="auto"/>
          <w:spacing w:val="0"/>
          <w:position w:val="0"/>
          <w:sz w:val="32"/>
          <w:szCs w:val="32"/>
          <w:lang w:val="en-US" w:eastAsia="zh-CN" w:bidi="ar-SA"/>
        </w:rPr>
        <w:t>相关生产经营单位负责人</w:t>
      </w:r>
    </w:p>
    <w:p w14:paraId="4F48259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auto"/>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snapToGrid/>
          <w:color w:val="auto"/>
          <w:spacing w:val="0"/>
          <w:position w:val="0"/>
          <w:sz w:val="32"/>
          <w:szCs w:val="32"/>
          <w:lang w:val="zh-CN" w:eastAsia="zh-CN" w:bidi="zh-CN"/>
        </w:rPr>
        <w:t>区防汛抗旱指挥部设置办公室，该办公室设在区应急局，承担指挥部的日常工作，办公室主任由区应急局局长兼任。</w:t>
      </w:r>
    </w:p>
    <w:p w14:paraId="1DD7621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1.区防汛抗旱指挥部职责</w:t>
      </w:r>
    </w:p>
    <w:p w14:paraId="6ADA9C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（1）指挥、组织、监督、协调干旱灾害应急处置工作。</w:t>
      </w:r>
    </w:p>
    <w:p w14:paraId="5FB15D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（2）贯彻落实国家防汛抗旱总指挥部</w:t>
      </w:r>
      <w:r>
        <w:rPr>
          <w:rFonts w:hint="eastAsia" w:ascii="仿宋" w:hAnsi="仿宋" w:eastAsia="仿宋" w:cs="仿宋"/>
          <w:color w:val="auto"/>
          <w:spacing w:val="0"/>
          <w:position w:val="0"/>
          <w:sz w:val="32"/>
          <w:szCs w:val="32"/>
          <w:lang w:val="en-US" w:eastAsia="zh-CN"/>
        </w:rPr>
        <w:t>和</w:t>
      </w:r>
      <w:r>
        <w:rPr>
          <w:rFonts w:hint="eastAsia" w:ascii="仿宋" w:hAnsi="仿宋" w:eastAsia="仿宋" w:cs="仿宋"/>
          <w:color w:val="auto"/>
          <w:spacing w:val="0"/>
          <w:position w:val="0"/>
          <w:sz w:val="32"/>
          <w:szCs w:val="32"/>
          <w:lang w:eastAsia="zh-CN"/>
        </w:rPr>
        <w:t>省委、省政府、省防汛抗旱指挥部、市委、市政府、市防汛抗旱指挥部、区委、区政府有关防汛抗旱工作的政策、制度和指令。</w:t>
      </w:r>
    </w:p>
    <w:p w14:paraId="324D2FD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（3）组织制定、实施全区抗旱应急预案。</w:t>
      </w:r>
    </w:p>
    <w:p w14:paraId="563242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（4）及时掌握全区旱情、灾情等信息并采取抗旱减灾措施，依法发布旱情通告，宣布进入或者结束紧急抗旱期。</w:t>
      </w:r>
    </w:p>
    <w:p w14:paraId="61395C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（5）统一调控和调度全区抗旱水量，督促检查各街道办事处、村屯及用水大户落实抗旱责任制情况，组织调配全区抗旱物资和队伍，协调民兵队伍承担抗旱救灾紧急攻坚任务。</w:t>
      </w:r>
    </w:p>
    <w:p w14:paraId="70933D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（6）负责抗旱物资的储备管理和调拨工作，组织灾后处置，做好有关协调工作。</w:t>
      </w:r>
    </w:p>
    <w:p w14:paraId="5BB539E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2.区防汛抗旱指挥部办公室职责</w:t>
      </w:r>
    </w:p>
    <w:p w14:paraId="527A571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（1）承办区防汛抗旱指挥部的日常工作，贯彻落实国家和省、市抗旱工作的法律、法规、政策。</w:t>
      </w:r>
    </w:p>
    <w:p w14:paraId="3A6AD0F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（2）遵照区防汛抗旱指挥部的指示，协调相关成员单位开展抗旱具体工作。</w:t>
      </w:r>
    </w:p>
    <w:p w14:paraId="2EE03B0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（3）及时掌握全区旱情、灾情，提出具体的抗旱减灾措施建议供区防汛抗旱指挥部领导决策。</w:t>
      </w:r>
    </w:p>
    <w:p w14:paraId="6B45291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（4）对全区抗旱工作进行督促指导。</w:t>
      </w:r>
    </w:p>
    <w:p w14:paraId="57468EB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（5）及时向防汛抗旱指挥部和成员单位报告重大旱情、灾情，向市防汛抗旱指挥部办公室报告和通报抗旱信息。</w:t>
      </w:r>
    </w:p>
    <w:p w14:paraId="48DD7B8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（6）负责抗旱物资管理和调拨工作。</w:t>
      </w:r>
    </w:p>
    <w:p w14:paraId="73D82E8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3.成员单位职责</w:t>
      </w:r>
    </w:p>
    <w:p w14:paraId="477EA88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（1）区委宣传部</w:t>
      </w:r>
    </w:p>
    <w:p w14:paraId="6113D3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负责正确把握全区抗旱救灾工作的宣传导向，指导新闻宣传单位做好宣传报道工作及组织召开新闻发布会等工作。指导各有关部门加强网络舆情监测、报告、研判和应对处置引导工作。</w:t>
      </w:r>
    </w:p>
    <w:p w14:paraId="509E1AC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（2）区应急局</w:t>
      </w:r>
    </w:p>
    <w:p w14:paraId="5C75E3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监督和处理抗旱救灾中安全事故工作。组织指导协调抗旱救灾突发事件应急处置，统一协调指挥各类应急专业队伍，衔接消防救援大队和民兵队伍参与紧急攻坚任务。组织指导灾情核查、损失评估，协调干旱灾害救助工作，统一调度抗旱救灾物资。</w:t>
      </w:r>
    </w:p>
    <w:p w14:paraId="31ACB4E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（3）区水务局</w:t>
      </w:r>
    </w:p>
    <w:p w14:paraId="49A4AC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全区抗旱水源工程调度管理，提供抗旱技术支持，组织实施全区抗旱水源工程以及其他抗旱工程修复、建设和管理工作。负责农业旱灾信息的收集、整理，并及时向区防汛抗旱指挥部提供；推广应用旱作农业节水技术；指导农业抗旱和灾后农业救灾、生产恢复。</w:t>
      </w:r>
    </w:p>
    <w:p w14:paraId="4D88041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（4）区发改局</w:t>
      </w:r>
    </w:p>
    <w:p w14:paraId="761262A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会同行业主管部门组织协调重大抗旱工程和抗旱体系建设。</w:t>
      </w:r>
    </w:p>
    <w:p w14:paraId="3A5EF77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（5）区工信局</w:t>
      </w:r>
    </w:p>
    <w:p w14:paraId="684821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负责组织有关工业企业进行药品、食品及抗旱救灾所需应急物资的紧急生产、储运，保证及时供应。</w:t>
      </w:r>
    </w:p>
    <w:p w14:paraId="323003E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（6）区教育局</w:t>
      </w:r>
    </w:p>
    <w:p w14:paraId="771311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负责教育系统抗旱工作，组织、指导教学单位解决教职员工和学生饮用水困难问题。</w:t>
      </w:r>
    </w:p>
    <w:p w14:paraId="318AD8D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（7）区民政局</w:t>
      </w:r>
    </w:p>
    <w:p w14:paraId="36AE6A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组织指导慈善机构开展救灾捐赠管理、社会救灾捐赠款物，并监督检查其使用情况，及时对符合条件受灾群众的基本生活临时救助。</w:t>
      </w:r>
    </w:p>
    <w:p w14:paraId="5C41569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（8）区财政局</w:t>
      </w:r>
    </w:p>
    <w:p w14:paraId="51A46DD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负责及时筹集和安排下拨抗旱救灾经费，保证专款专用。</w:t>
      </w:r>
    </w:p>
    <w:p w14:paraId="2C17DDA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（9）区住建局</w:t>
      </w:r>
    </w:p>
    <w:p w14:paraId="2A9E26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负责做好城市供水工作，协助指导全区城市抗旱规划编制工作。</w:t>
      </w:r>
    </w:p>
    <w:p w14:paraId="102E715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（10）自然资源和规划局一分局</w:t>
      </w:r>
    </w:p>
    <w:p w14:paraId="60BFF0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负责协调解决抗旱救灾占地、用地问题。</w:t>
      </w:r>
    </w:p>
    <w:p w14:paraId="3E709D9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（11）区商务局</w:t>
      </w:r>
    </w:p>
    <w:p w14:paraId="0159A7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负责组织协调受灾地区生活必需品以及部分抗旱救灾物资的供应和调配工作。</w:t>
      </w:r>
    </w:p>
    <w:p w14:paraId="676C921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（12）区文旅局</w:t>
      </w:r>
    </w:p>
    <w:p w14:paraId="4B2C9F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负责抗旱期间旅游区游客和工作人员的安全。</w:t>
      </w:r>
    </w:p>
    <w:p w14:paraId="09F0949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（13）区卫健局</w:t>
      </w:r>
    </w:p>
    <w:p w14:paraId="6D817E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负责灾区卫生防疫和医疗救护工作；灾情发生后，及时向区防汛抗旱指挥部提供灾区疫情和防治信息，及时组织医疗卫生人员赶赴灾区，开展防病治病，预防和控制疫情的发生。</w:t>
      </w:r>
    </w:p>
    <w:p w14:paraId="1BEE758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（14）区市场局</w:t>
      </w:r>
    </w:p>
    <w:p w14:paraId="261EAD0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负责做好灾区生活必需品质量监督管理，维护市场秩序。</w:t>
      </w:r>
    </w:p>
    <w:p w14:paraId="01DFE2B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（15）向阳公安分局</w:t>
      </w:r>
    </w:p>
    <w:p w14:paraId="0509812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负责抗旱救灾及灾区社会治安保障工作；依法打击造谣惑众和盗窃、抢劫抗旱物资和破坏水利工程设施的犯罪行为。</w:t>
      </w:r>
    </w:p>
    <w:p w14:paraId="58AC02D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（16）向阳交警大队</w:t>
      </w:r>
    </w:p>
    <w:p w14:paraId="59F4FA5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负责抗旱期间道路交通安全管理，保障抗旱指挥、救灾等专用车辆安全畅通，必要时实行交通管制。</w:t>
      </w:r>
    </w:p>
    <w:p w14:paraId="2635824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（17）区消防救援大队</w:t>
      </w:r>
    </w:p>
    <w:p w14:paraId="6DD4868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配合防汛抗旱指挥部做好干旱灾害的应急处置工作。</w:t>
      </w:r>
    </w:p>
    <w:p w14:paraId="0D390E7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（18）其他部门</w:t>
      </w:r>
    </w:p>
    <w:p w14:paraId="60EC614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按照区防汛抗旱指挥部的指挥参加干旱灾害应急处置工作。</w:t>
      </w:r>
    </w:p>
    <w:p w14:paraId="675C417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（19）各街道办事处、村屯</w:t>
      </w:r>
    </w:p>
    <w:p w14:paraId="59489B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做好各自管辖范围内干旱灾害应急救援及灾民安置工作。</w:t>
      </w:r>
    </w:p>
    <w:p w14:paraId="5187D6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10" w:name="_Toc27164"/>
      <w:r>
        <w:rPr>
          <w:rFonts w:ascii="楷体" w:hAnsi="楷体" w:eastAsia="楷体" w:cs="楷体"/>
          <w:b w:val="0"/>
          <w:bCs w:val="0"/>
          <w:color w:val="auto"/>
          <w:spacing w:val="0"/>
          <w:position w:val="0"/>
          <w:sz w:val="32"/>
          <w:szCs w:val="32"/>
          <w:lang w:eastAsia="zh-CN"/>
        </w:rPr>
        <w:t>（二）专家组组成及职责</w:t>
      </w:r>
      <w:bookmarkEnd w:id="10"/>
    </w:p>
    <w:p w14:paraId="634AD8E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由区水务局、自然资源和规划局一分局等单位组织、抽调专家组成专家组，解决抗旱救灾中出现的重大技术难题，当发生严重旱情时赶赴现场协助街道办事处、村屯及用水大户制定切实可行的抗旱救灾方案，指导抗旱救灾工作。</w:t>
      </w:r>
    </w:p>
    <w:p w14:paraId="496F7F4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color w:val="auto"/>
          <w:spacing w:val="0"/>
          <w:position w:val="0"/>
          <w:sz w:val="32"/>
        </w:rPr>
      </w:pPr>
      <w:bookmarkStart w:id="11" w:name="_Toc4913"/>
      <w:r>
        <w:rPr>
          <w:rFonts w:hint="eastAsia" w:ascii="黑体" w:hAnsi="黑体" w:eastAsia="黑体" w:cs="黑体"/>
          <w:b w:val="0"/>
          <w:bCs w:val="0"/>
          <w:color w:val="auto"/>
          <w:spacing w:val="0"/>
          <w:position w:val="0"/>
          <w:sz w:val="32"/>
          <w:lang w:val="en-US"/>
        </w:rPr>
        <w:t>四</w:t>
      </w:r>
      <w:r>
        <w:rPr>
          <w:rFonts w:hint="eastAsia" w:ascii="黑体" w:hAnsi="黑体" w:eastAsia="黑体" w:cs="黑体"/>
          <w:b w:val="0"/>
          <w:bCs w:val="0"/>
          <w:color w:val="auto"/>
          <w:spacing w:val="0"/>
          <w:position w:val="0"/>
          <w:sz w:val="32"/>
        </w:rPr>
        <w:t>、</w:t>
      </w:r>
      <w:r>
        <w:rPr>
          <w:rFonts w:hint="eastAsia" w:ascii="黑体" w:hAnsi="黑体" w:eastAsia="黑体" w:cs="黑体"/>
          <w:b w:val="0"/>
          <w:bCs w:val="0"/>
          <w:color w:val="auto"/>
          <w:spacing w:val="0"/>
          <w:position w:val="0"/>
          <w:sz w:val="32"/>
          <w:lang w:val="en-US"/>
        </w:rPr>
        <w:t>风险管控</w:t>
      </w:r>
      <w:bookmarkEnd w:id="11"/>
    </w:p>
    <w:p w14:paraId="5573194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按照</w:t>
      </w:r>
      <w:r>
        <w:rPr>
          <w:rFonts w:hint="eastAsia" w:ascii="仿宋" w:hAnsi="仿宋" w:eastAsia="仿宋" w:cs="仿宋"/>
          <w:color w:val="auto"/>
          <w:spacing w:val="0"/>
          <w:position w:val="0"/>
          <w:sz w:val="32"/>
          <w:szCs w:val="32"/>
          <w:lang w:val="zh-CN" w:eastAsia="zh-CN"/>
        </w:rPr>
        <w:t>“预防为主”的方针，通过系统性地识别、评估、控制和监控抗旱工作存在的潜在风险，最大限度地降低突发事件发生的可能性及可能造成的损失，变被动应对为主动防范。</w:t>
      </w:r>
    </w:p>
    <w:p w14:paraId="3B9D284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12" w:name="_Toc4165"/>
      <w:r>
        <w:rPr>
          <w:rFonts w:ascii="楷体" w:hAnsi="楷体" w:eastAsia="楷体" w:cs="楷体"/>
          <w:b w:val="0"/>
          <w:bCs w:val="0"/>
          <w:color w:val="auto"/>
          <w:spacing w:val="0"/>
          <w:position w:val="0"/>
          <w:sz w:val="32"/>
          <w:szCs w:val="32"/>
          <w:lang w:eastAsia="zh-CN"/>
        </w:rPr>
        <w:t>（一）风险识别与评估</w:t>
      </w:r>
      <w:bookmarkEnd w:id="12"/>
    </w:p>
    <w:p w14:paraId="17203A0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1.全面风险识别：</w:t>
      </w:r>
      <w:r>
        <w:rPr>
          <w:rFonts w:hint="eastAsia" w:ascii="仿宋" w:hAnsi="仿宋" w:eastAsia="仿宋" w:cs="仿宋"/>
          <w:color w:val="auto"/>
          <w:spacing w:val="0"/>
          <w:position w:val="0"/>
          <w:sz w:val="32"/>
          <w:szCs w:val="32"/>
          <w:lang w:eastAsia="zh-CN"/>
        </w:rPr>
        <w:t>区政府组织各专项应急指挥部、有关部门和街道办事处、村屯，依据本预案总则部分对自然灾害分析，结合辖区人口、产业、地理、气候等特点，定期开展全面抗旱风险调查。</w:t>
      </w:r>
    </w:p>
    <w:p w14:paraId="4A5F553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2.识别范围：</w:t>
      </w:r>
      <w:r>
        <w:rPr>
          <w:rFonts w:hint="eastAsia" w:ascii="仿宋" w:hAnsi="仿宋" w:eastAsia="仿宋" w:cs="仿宋"/>
          <w:color w:val="auto"/>
          <w:spacing w:val="0"/>
          <w:position w:val="0"/>
          <w:sz w:val="32"/>
          <w:szCs w:val="32"/>
          <w:lang w:eastAsia="zh-CN"/>
        </w:rPr>
        <w:t>覆盖全区各行业、各领域、所有生产经营单位和社会生活环节，重点针对松花江等内陆河流、湖泊、水库、溪流、农田、水利设施、抗旱设备设施等重点区域和薄弱环节。</w:t>
      </w:r>
    </w:p>
    <w:p w14:paraId="4655190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3.识别方法：</w:t>
      </w:r>
      <w:r>
        <w:rPr>
          <w:rFonts w:hint="eastAsia" w:ascii="仿宋" w:hAnsi="仿宋" w:eastAsia="仿宋" w:cs="仿宋"/>
          <w:color w:val="auto"/>
          <w:spacing w:val="0"/>
          <w:position w:val="0"/>
          <w:sz w:val="32"/>
          <w:szCs w:val="32"/>
          <w:lang w:eastAsia="zh-CN"/>
        </w:rPr>
        <w:t>综合运用现场排查、专家检查、舆情分析、案例复盘、公众反映等多种方式，动态更新抗旱风险源信息。</w:t>
      </w:r>
    </w:p>
    <w:p w14:paraId="49AE6A5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4.科学风险评估：</w:t>
      </w:r>
      <w:r>
        <w:rPr>
          <w:rFonts w:hint="eastAsia" w:ascii="仿宋" w:hAnsi="仿宋" w:eastAsia="仿宋" w:cs="仿宋"/>
          <w:color w:val="auto"/>
          <w:spacing w:val="0"/>
          <w:position w:val="0"/>
          <w:sz w:val="32"/>
          <w:szCs w:val="32"/>
          <w:lang w:eastAsia="zh-CN"/>
        </w:rPr>
        <w:t>对识别出的抗旱风险进行分析评估，确定风险等级。</w:t>
      </w:r>
    </w:p>
    <w:p w14:paraId="4332D0B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5.评估标准：</w:t>
      </w:r>
      <w:r>
        <w:rPr>
          <w:rFonts w:hint="eastAsia" w:ascii="仿宋" w:hAnsi="仿宋" w:eastAsia="仿宋" w:cs="仿宋"/>
          <w:color w:val="auto"/>
          <w:spacing w:val="0"/>
          <w:position w:val="0"/>
          <w:sz w:val="32"/>
          <w:szCs w:val="32"/>
          <w:lang w:eastAsia="zh-CN"/>
        </w:rPr>
        <w:t>采用定性与定量相结合的方法，从事件发生的可能性和后果的严重性两个维度，参照国家和行业标准，对抗旱风险进行综合研判。</w:t>
      </w:r>
    </w:p>
    <w:p w14:paraId="0F7EDEE5">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6.风险分级：</w:t>
      </w:r>
      <w:r>
        <w:rPr>
          <w:rFonts w:hint="eastAsia" w:ascii="仿宋" w:hAnsi="仿宋" w:eastAsia="仿宋" w:cs="仿宋"/>
          <w:color w:val="auto"/>
          <w:spacing w:val="0"/>
          <w:position w:val="0"/>
          <w:sz w:val="32"/>
          <w:szCs w:val="32"/>
          <w:lang w:eastAsia="zh-CN"/>
        </w:rPr>
        <w:t>根据评估结果，将风险划分为重大风险、较大风险、一般风险和低风险四个等级，并建立《向阳区抗旱风险</w:t>
      </w:r>
      <w:r>
        <w:rPr>
          <w:rFonts w:hint="eastAsia" w:ascii="仿宋" w:hAnsi="仿宋" w:eastAsia="仿宋" w:cs="仿宋"/>
          <w:color w:val="auto"/>
          <w:spacing w:val="0"/>
          <w:position w:val="0"/>
          <w:sz w:val="32"/>
          <w:szCs w:val="32"/>
          <w:lang w:eastAsia="zh-CN"/>
        </w:rPr>
        <w:t>分类分级清单》，</w:t>
      </w:r>
      <w:r>
        <w:rPr>
          <w:rFonts w:hint="eastAsia" w:ascii="仿宋" w:hAnsi="仿宋" w:eastAsia="仿宋" w:cs="仿宋"/>
          <w:color w:val="auto"/>
          <w:spacing w:val="0"/>
          <w:w w:val="100"/>
          <w:sz w:val="32"/>
          <w:szCs w:val="32"/>
          <w:lang w:val="en-US" w:eastAsia="zh-CN" w:bidi="zh-CN"/>
        </w:rPr>
        <w:t>分类分级清单由行管部门填写，</w:t>
      </w:r>
      <w:r>
        <w:rPr>
          <w:rFonts w:hint="eastAsia" w:ascii="仿宋" w:hAnsi="仿宋" w:eastAsia="仿宋" w:cs="仿宋"/>
          <w:color w:val="auto"/>
          <w:spacing w:val="0"/>
          <w:position w:val="0"/>
          <w:sz w:val="32"/>
          <w:szCs w:val="32"/>
          <w:lang w:eastAsia="zh-CN"/>
        </w:rPr>
        <w:t>作为精准施策的依据。</w:t>
      </w:r>
    </w:p>
    <w:p w14:paraId="1139B0D0">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position w:val="0"/>
          <w:sz w:val="32"/>
          <w:szCs w:val="32"/>
          <w:lang w:val="en-US" w:bidi="ar-SA"/>
        </w:rPr>
      </w:pPr>
      <w:bookmarkStart w:id="13" w:name="_Toc7360"/>
      <w:r>
        <w:rPr>
          <w:rFonts w:ascii="楷体" w:hAnsi="楷体" w:eastAsia="楷体" w:cs="楷体"/>
          <w:b w:val="0"/>
          <w:bCs w:val="0"/>
          <w:color w:val="auto"/>
          <w:spacing w:val="0"/>
          <w:position w:val="0"/>
          <w:sz w:val="32"/>
          <w:szCs w:val="32"/>
          <w:lang w:val="en-US" w:bidi="ar-SA"/>
        </w:rPr>
        <w:t>（二）风险控制与治理</w:t>
      </w:r>
      <w:bookmarkEnd w:id="13"/>
    </w:p>
    <w:p w14:paraId="6D40E930">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根据风险评估结果，实行风险分级管控，采取以下针对性控制措施，优先级从高到低依次为：</w:t>
      </w:r>
    </w:p>
    <w:p w14:paraId="6E3EB72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1.消除风险：</w:t>
      </w:r>
      <w:r>
        <w:rPr>
          <w:rFonts w:hint="eastAsia" w:ascii="仿宋" w:hAnsi="仿宋" w:eastAsia="仿宋" w:cs="仿宋"/>
          <w:color w:val="auto"/>
          <w:spacing w:val="0"/>
          <w:position w:val="0"/>
          <w:sz w:val="32"/>
          <w:szCs w:val="32"/>
          <w:lang w:eastAsia="zh-CN"/>
        </w:rPr>
        <w:t>优化城市规划布局和地理环境，从源头上消除旱情重大风险。对无法消除的旱情重大风险，鼓励采用“早规划、早设置、早应用”等措施进行防范。</w:t>
      </w:r>
    </w:p>
    <w:p w14:paraId="7705D9A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2.技术控制：</w:t>
      </w:r>
      <w:r>
        <w:rPr>
          <w:rFonts w:hint="eastAsia" w:ascii="仿宋" w:hAnsi="仿宋" w:eastAsia="仿宋" w:cs="仿宋"/>
          <w:color w:val="auto"/>
          <w:spacing w:val="0"/>
          <w:position w:val="0"/>
          <w:sz w:val="32"/>
          <w:szCs w:val="32"/>
          <w:lang w:eastAsia="zh-CN"/>
        </w:rPr>
        <w:t>在重点区域、重点场所和重要设施中，加强旱情安全设施建设，如打井抽水系统、防洪排涝设施、安全监控报警装置、加固水利结构等，提升抗旱防范水平。</w:t>
      </w:r>
    </w:p>
    <w:p w14:paraId="367B4D8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3.管理控制：</w:t>
      </w:r>
      <w:r>
        <w:rPr>
          <w:rFonts w:hint="eastAsia" w:ascii="仿宋" w:hAnsi="仿宋" w:eastAsia="仿宋" w:cs="仿宋"/>
          <w:color w:val="auto"/>
          <w:spacing w:val="0"/>
          <w:position w:val="0"/>
          <w:sz w:val="32"/>
          <w:szCs w:val="32"/>
          <w:lang w:eastAsia="zh-CN"/>
        </w:rPr>
        <w:t>各行业主管部门、企事业单位和基层组织应建立健全抗旱管理制度、抗旱设备操作规程和抗旱应急预案。</w:t>
      </w:r>
    </w:p>
    <w:p w14:paraId="3359417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4.分级负责：</w:t>
      </w:r>
      <w:r>
        <w:rPr>
          <w:rFonts w:hint="eastAsia" w:ascii="仿宋" w:hAnsi="仿宋" w:eastAsia="仿宋" w:cs="仿宋"/>
          <w:color w:val="auto"/>
          <w:spacing w:val="0"/>
          <w:position w:val="0"/>
          <w:sz w:val="32"/>
          <w:szCs w:val="32"/>
          <w:lang w:eastAsia="zh-CN"/>
        </w:rPr>
        <w:t>落实属地管理和行业监管责任。旱情重大风险由区政府</w:t>
      </w:r>
      <w:r>
        <w:rPr>
          <w:rFonts w:hint="eastAsia" w:ascii="仿宋" w:hAnsi="仿宋" w:eastAsia="仿宋" w:cs="仿宋"/>
          <w:color w:val="auto"/>
          <w:spacing w:val="0"/>
          <w:position w:val="0"/>
          <w:sz w:val="32"/>
          <w:szCs w:val="32"/>
          <w:lang w:eastAsia="zh-CN"/>
        </w:rPr>
        <w:t>和区行业主管部门重点管控；旱情较大及一般风险由各街道办事处和相关部门负责监管，落实相应的管控措施。</w:t>
      </w:r>
    </w:p>
    <w:p w14:paraId="0231C99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5.隐患排查：</w:t>
      </w:r>
      <w:r>
        <w:rPr>
          <w:rFonts w:hint="eastAsia" w:ascii="仿宋" w:hAnsi="仿宋" w:eastAsia="仿宋" w:cs="仿宋"/>
          <w:color w:val="auto"/>
          <w:spacing w:val="0"/>
          <w:position w:val="0"/>
          <w:sz w:val="32"/>
          <w:szCs w:val="32"/>
          <w:lang w:eastAsia="zh-CN"/>
        </w:rPr>
        <w:t>建立常态化旱情隐患排查治理机制，对发现的旱情隐患建立台账，明确责任，限期整改，实现闭环管理。</w:t>
      </w:r>
    </w:p>
    <w:p w14:paraId="4B0EE797">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6.应急准备：</w:t>
      </w:r>
      <w:r>
        <w:rPr>
          <w:rFonts w:hint="eastAsia" w:ascii="仿宋" w:hAnsi="仿宋" w:eastAsia="仿宋" w:cs="仿宋"/>
          <w:color w:val="auto"/>
          <w:spacing w:val="0"/>
          <w:position w:val="0"/>
          <w:sz w:val="32"/>
          <w:szCs w:val="32"/>
          <w:lang w:eastAsia="zh-CN"/>
        </w:rPr>
        <w:t>对于无法彻底消除的旱情风险，通过编制应急预案、储备应急物资、加强应急演练、建设应急队伍等措施，做好应急准备，降低事件发生后的损失。</w:t>
      </w:r>
    </w:p>
    <w:p w14:paraId="15D767DF">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7.宣传与培训：</w:t>
      </w:r>
      <w:r>
        <w:rPr>
          <w:rFonts w:hint="eastAsia" w:ascii="仿宋" w:hAnsi="仿宋" w:eastAsia="仿宋" w:cs="仿宋"/>
          <w:color w:val="auto"/>
          <w:spacing w:val="0"/>
          <w:position w:val="0"/>
          <w:sz w:val="32"/>
          <w:szCs w:val="32"/>
          <w:lang w:eastAsia="zh-CN"/>
        </w:rPr>
        <w:t>加强抗旱宣传教育，普及风险防范、抗旱自救、互救知识和技能，提高全社会风险意识和应对能力。</w:t>
      </w:r>
    </w:p>
    <w:p w14:paraId="03B8A298">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position w:val="0"/>
          <w:sz w:val="32"/>
          <w:szCs w:val="32"/>
          <w:lang w:val="en-US" w:bidi="ar-SA"/>
        </w:rPr>
      </w:pPr>
      <w:bookmarkStart w:id="14" w:name="_Toc26142"/>
      <w:r>
        <w:rPr>
          <w:rFonts w:ascii="楷体" w:hAnsi="楷体" w:eastAsia="楷体" w:cs="楷体"/>
          <w:b w:val="0"/>
          <w:bCs w:val="0"/>
          <w:color w:val="auto"/>
          <w:spacing w:val="0"/>
          <w:position w:val="0"/>
          <w:sz w:val="32"/>
          <w:szCs w:val="32"/>
          <w:lang w:val="en-US" w:bidi="ar-SA"/>
        </w:rPr>
        <w:t>（三）监控与更新</w:t>
      </w:r>
      <w:bookmarkEnd w:id="14"/>
    </w:p>
    <w:p w14:paraId="5D4246C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1.动态监测：</w:t>
      </w:r>
      <w:r>
        <w:rPr>
          <w:rFonts w:hint="eastAsia" w:ascii="仿宋" w:hAnsi="仿宋" w:eastAsia="仿宋" w:cs="仿宋"/>
          <w:color w:val="auto"/>
          <w:spacing w:val="0"/>
          <w:position w:val="0"/>
          <w:sz w:val="32"/>
          <w:szCs w:val="32"/>
          <w:lang w:eastAsia="zh-CN"/>
        </w:rPr>
        <w:t>利用物联网、大数据等现代信息技术，对旱情重大风险和旱情重点设备设施进行动态监测和跟踪。各有关部门和街道办事处应定期对职责范围内的旱情风险管控措施落实情况进行监督检查。</w:t>
      </w:r>
    </w:p>
    <w:p w14:paraId="52A15A6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2.定期评审：</w:t>
      </w:r>
      <w:r>
        <w:rPr>
          <w:rFonts w:hint="eastAsia" w:ascii="仿宋" w:hAnsi="仿宋" w:eastAsia="仿宋" w:cs="仿宋"/>
          <w:color w:val="auto"/>
          <w:spacing w:val="0"/>
          <w:position w:val="0"/>
          <w:sz w:val="32"/>
          <w:szCs w:val="32"/>
          <w:lang w:eastAsia="zh-CN"/>
        </w:rPr>
        <w:t>建立风险动态评估机制。区政府定期组织全区风险形势分析会商。当出现法律法规变化、城市规划调整、农业产业结构升级、重要设施建设等情形时，应及时组织重新评估，更新风险清单与管控措施。</w:t>
      </w:r>
    </w:p>
    <w:p w14:paraId="131586F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15" w:name="_Toc4039"/>
      <w:r>
        <w:rPr>
          <w:rFonts w:hint="eastAsia" w:ascii="黑体" w:hAnsi="黑体" w:eastAsia="黑体" w:cs="黑体"/>
          <w:color w:val="auto"/>
          <w:spacing w:val="0"/>
          <w:position w:val="0"/>
          <w:sz w:val="32"/>
          <w:szCs w:val="32"/>
          <w:lang w:eastAsia="zh-CN"/>
        </w:rPr>
        <w:t>五、监测预警</w:t>
      </w:r>
      <w:bookmarkEnd w:id="15"/>
    </w:p>
    <w:p w14:paraId="3BE7AD5D">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position w:val="0"/>
          <w:sz w:val="32"/>
          <w:szCs w:val="32"/>
          <w:lang w:val="en-US" w:bidi="ar-SA"/>
        </w:rPr>
      </w:pPr>
      <w:bookmarkStart w:id="16" w:name="_Toc19184"/>
      <w:r>
        <w:rPr>
          <w:rFonts w:ascii="楷体" w:hAnsi="楷体" w:eastAsia="楷体" w:cs="楷体"/>
          <w:b w:val="0"/>
          <w:bCs w:val="0"/>
          <w:color w:val="auto"/>
          <w:spacing w:val="0"/>
          <w:position w:val="0"/>
          <w:sz w:val="32"/>
          <w:szCs w:val="32"/>
          <w:lang w:val="en-US" w:bidi="ar-SA"/>
        </w:rPr>
        <w:t>（一）预防预警信息</w:t>
      </w:r>
      <w:bookmarkEnd w:id="16"/>
    </w:p>
    <w:p w14:paraId="41F297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预警信息包括预警信号、发布时间、影响范围、警示事项和发布机关等。预警信息通过广播、电视、报纸、信息网络、手机等媒介发布。媒体要及时播发、刊登预警信息，不得删减预警信息。</w:t>
      </w:r>
    </w:p>
    <w:p w14:paraId="12A6793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防汛抗旱指挥部办公室及时掌握预警信息，上报区政府防汛抗旱指挥部，根据预警级别做好相应防范准备工作。</w:t>
      </w:r>
    </w:p>
    <w:p w14:paraId="178450E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1.气象干旱信息</w:t>
      </w:r>
    </w:p>
    <w:p w14:paraId="4A206A4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防汛抗旱指挥部办公室及时关注市级气象部门对降水、土壤墒情等信息的监测和预报，当预报即将发生严重旱灾时，将信息及时报送区防汛抗旱指挥部，区防汛抗旱指挥部提早预警，通知有关区域做好相关准备。</w:t>
      </w:r>
    </w:p>
    <w:p w14:paraId="589B41F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2.水文干旱信息</w:t>
      </w:r>
    </w:p>
    <w:p w14:paraId="573ECF2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防汛抗旱指挥部办公室及时关注市级水文部门对河道水位、水量等信息的监测和预报，当预报即将发生严重旱灾时，将信息及时报送区防汛抗旱指挥部，区防汛抗旱指挥部提早预警，通知有关区域做好相关准备。</w:t>
      </w:r>
    </w:p>
    <w:p w14:paraId="1F9E52B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3.旱情灾情信息</w:t>
      </w:r>
    </w:p>
    <w:p w14:paraId="17D7921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旱情灾情信息主要包括干旱发生的时间、地点、程度、受旱范围、影响人口以及对农业生产、农村人畜饮水、城市供水、林牧渔业、生态环境等方面造成的损失。</w:t>
      </w:r>
    </w:p>
    <w:p w14:paraId="440B656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区防汛抗旱指挥部根据街道办事处、各村屯报送的情况，及时掌握农田土壤墒情和城乡供水等情况，加强旱情监测，一旦发生旱情，应逐级上报。发生严重旱情时，应及时核实，迅速上报。</w:t>
      </w:r>
    </w:p>
    <w:p w14:paraId="043CED7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区水务局按照《水旱灾害统计报表制度》的规定及时统计上报旱情。</w:t>
      </w:r>
    </w:p>
    <w:p w14:paraId="306FB78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17" w:name="_Toc21687"/>
      <w:r>
        <w:rPr>
          <w:rFonts w:ascii="楷体" w:hAnsi="楷体" w:eastAsia="楷体" w:cs="楷体"/>
          <w:b w:val="0"/>
          <w:bCs w:val="0"/>
          <w:color w:val="auto"/>
          <w:spacing w:val="0"/>
          <w:position w:val="0"/>
          <w:sz w:val="32"/>
          <w:szCs w:val="32"/>
          <w:lang w:eastAsia="zh-CN"/>
        </w:rPr>
        <w:t>（二）预防预警信息发布</w:t>
      </w:r>
      <w:bookmarkEnd w:id="17"/>
    </w:p>
    <w:p w14:paraId="48E10EE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1.预警分级</w:t>
      </w:r>
    </w:p>
    <w:p w14:paraId="7D04E79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预案的预警等级主要参考《农业旱情旱灾评估标准》中的旱情评定指标来确定，综合考虑区域内城市干旱灾害缺水情况，将干旱灾害预警分为四级，即：I级预警（特别重大干旱灾害）、Ⅱ级预警（重大干旱灾害）、Ⅲ级预警（较大干旱灾害）和Ⅳ级预警（一般干旱灾害）。</w:t>
      </w:r>
    </w:p>
    <w:p w14:paraId="40347BF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2.预警级别调整</w:t>
      </w:r>
    </w:p>
    <w:p w14:paraId="3885A2B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干旱预警启动后，可视灾情及其发展情况对预警级别及时调整，避免响应不足或响应过度。</w:t>
      </w:r>
    </w:p>
    <w:p w14:paraId="79BFAEA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3.干旱灾害预警发布</w:t>
      </w:r>
    </w:p>
    <w:p w14:paraId="499C1FA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（1）根据旱情监测信息，当预测旱情即将发生时，由区防汛抗旱指挥部发布干旱灾害预警信息。</w:t>
      </w:r>
    </w:p>
    <w:p w14:paraId="0576FB3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（2）发布内容主要包括旱情可能发生的时间、地点、程度、受旱范围、影响人口，以及对工农业生产、城乡生活、生态环境等方面造成的影响等。</w:t>
      </w:r>
    </w:p>
    <w:p w14:paraId="408F897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（3）发布范围为各抗旱职能部门、企事业单位、居民，并报送上级有关部门备案。</w:t>
      </w:r>
    </w:p>
    <w:p w14:paraId="5D99DEC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（4）发布方式采取会议、广播、电视、报纸等多种渠道。预警级别按照I</w:t>
      </w:r>
      <w:r>
        <w:rPr>
          <w:rFonts w:hint="eastAsia" w:ascii="仿宋" w:hAnsi="仿宋" w:eastAsia="仿宋" w:cs="仿宋"/>
          <w:color w:val="auto"/>
          <w:spacing w:val="0"/>
          <w:position w:val="0"/>
          <w:sz w:val="32"/>
          <w:szCs w:val="32"/>
          <w:lang w:val="en-US" w:eastAsia="zh-CN"/>
        </w:rPr>
        <w:t>∽</w:t>
      </w:r>
      <w:r>
        <w:rPr>
          <w:rFonts w:hint="eastAsia" w:ascii="仿宋" w:hAnsi="仿宋" w:eastAsia="仿宋" w:cs="仿宋"/>
          <w:color w:val="auto"/>
          <w:spacing w:val="0"/>
          <w:position w:val="0"/>
          <w:sz w:val="32"/>
          <w:szCs w:val="32"/>
          <w:lang w:eastAsia="zh-CN"/>
        </w:rPr>
        <w:t>Ⅳ级干旱灾害预警颜色依次采用红色、橙色、黄色、蓝色。</w:t>
      </w:r>
    </w:p>
    <w:p w14:paraId="7303F00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18" w:name="_Toc6800"/>
      <w:r>
        <w:rPr>
          <w:rFonts w:ascii="楷体" w:hAnsi="楷体" w:eastAsia="楷体" w:cs="楷体"/>
          <w:b w:val="0"/>
          <w:bCs w:val="0"/>
          <w:color w:val="auto"/>
          <w:spacing w:val="0"/>
          <w:position w:val="0"/>
          <w:sz w:val="32"/>
          <w:szCs w:val="32"/>
          <w:lang w:eastAsia="zh-CN"/>
        </w:rPr>
        <w:t>（三）预防预警行动</w:t>
      </w:r>
      <w:bookmarkEnd w:id="18"/>
    </w:p>
    <w:p w14:paraId="791CFD4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1.抗旱准备工作</w:t>
      </w:r>
    </w:p>
    <w:p w14:paraId="682EB0C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（1）思想准备。</w:t>
      </w:r>
      <w:r>
        <w:rPr>
          <w:rFonts w:hint="eastAsia" w:ascii="仿宋" w:hAnsi="仿宋" w:eastAsia="仿宋" w:cs="仿宋"/>
          <w:color w:val="auto"/>
          <w:spacing w:val="0"/>
          <w:position w:val="0"/>
          <w:sz w:val="32"/>
          <w:szCs w:val="32"/>
          <w:lang w:eastAsia="zh-CN"/>
        </w:rPr>
        <w:t>加强宣传，增强全民预防干旱灾害和自我保护的意识，做好抗大旱的思想准备。</w:t>
      </w:r>
    </w:p>
    <w:p w14:paraId="62402CC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（2）组织准备。</w:t>
      </w:r>
      <w:r>
        <w:rPr>
          <w:rFonts w:hint="eastAsia" w:ascii="仿宋" w:hAnsi="仿宋" w:eastAsia="仿宋" w:cs="仿宋"/>
          <w:color w:val="auto"/>
          <w:spacing w:val="0"/>
          <w:position w:val="0"/>
          <w:sz w:val="32"/>
          <w:szCs w:val="32"/>
          <w:lang w:eastAsia="zh-CN"/>
        </w:rPr>
        <w:t>建立健全抗旱组织指挥部机构，落实抗旱责任人、抗旱队伍，加强抗旱服务组织建设。</w:t>
      </w:r>
    </w:p>
    <w:p w14:paraId="5303163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（3）工程准备。</w:t>
      </w:r>
      <w:r>
        <w:rPr>
          <w:rFonts w:hint="eastAsia" w:ascii="仿宋" w:hAnsi="仿宋" w:eastAsia="仿宋" w:cs="仿宋"/>
          <w:color w:val="auto"/>
          <w:spacing w:val="0"/>
          <w:position w:val="0"/>
          <w:sz w:val="32"/>
          <w:szCs w:val="32"/>
          <w:lang w:eastAsia="zh-CN"/>
        </w:rPr>
        <w:t>按时完成抗旱水源工程建设任务。</w:t>
      </w:r>
    </w:p>
    <w:p w14:paraId="3877940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（4）预案准备。</w:t>
      </w:r>
      <w:r>
        <w:rPr>
          <w:rFonts w:hint="eastAsia" w:ascii="仿宋" w:hAnsi="仿宋" w:eastAsia="仿宋" w:cs="仿宋"/>
          <w:color w:val="auto"/>
          <w:spacing w:val="0"/>
          <w:position w:val="0"/>
          <w:sz w:val="32"/>
          <w:szCs w:val="32"/>
          <w:lang w:eastAsia="zh-CN"/>
        </w:rPr>
        <w:t>修订完善抗旱预案。</w:t>
      </w:r>
    </w:p>
    <w:p w14:paraId="5E774AF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（5）抗旱检查。</w:t>
      </w:r>
      <w:r>
        <w:rPr>
          <w:rFonts w:hint="eastAsia" w:ascii="仿宋" w:hAnsi="仿宋" w:eastAsia="仿宋" w:cs="仿宋"/>
          <w:color w:val="auto"/>
          <w:spacing w:val="0"/>
          <w:position w:val="0"/>
          <w:sz w:val="32"/>
          <w:szCs w:val="32"/>
          <w:lang w:eastAsia="zh-CN"/>
        </w:rPr>
        <w:t>实行以查组织、查工程、查预案、查物资为主要内容的分级检查制度，发现薄弱环节，要明确责任、限时整改。</w:t>
      </w:r>
    </w:p>
    <w:p w14:paraId="21834E2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2.干旱灾害预警行动</w:t>
      </w:r>
    </w:p>
    <w:p w14:paraId="4559198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（1）区防汛抗旱指挥部应针对干旱灾害的成因、特点，因地制宜采取预警防范措施。</w:t>
      </w:r>
    </w:p>
    <w:p w14:paraId="0634820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（2）区防汛抗旱指挥部应建立健全旱情监测网络，随时掌握实时旱情灾情，并根据市防汛抗旱指挥部发布的旱情预测提出相应对策。</w:t>
      </w:r>
    </w:p>
    <w:p w14:paraId="276DB67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（3）按照有关规定及时向社会发布干旱灾害信息，宣传抗旱知识，公布咨询电话。</w:t>
      </w:r>
    </w:p>
    <w:p w14:paraId="36FDBE3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（4）组织抗旱应急队伍、负有抗旱职责的人员进入待命状态，并动员后备人员做好参加抗旱工作的准备。</w:t>
      </w:r>
    </w:p>
    <w:p w14:paraId="3F77D6D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（5）调集抗旱所需物资、设备、工具，并确保其处于良好状态、随时可以投入正常使用。</w:t>
      </w:r>
    </w:p>
    <w:p w14:paraId="7378F3A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（6）加强对引水、蓄水、提水工程和重要抗旱基础设施的保护和维护。</w:t>
      </w:r>
    </w:p>
    <w:p w14:paraId="022844C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7）成立抗旱专门工作组。根据抗旱工作的实际需要，有选择的成立以下工作组：宣传信息组、技术指导组、打井队伍调度组、物资保障组、交通运输组、救灾安置组、物价控制组、监察督办组、治安保卫组、通信保障组、医疗防疫组等。</w:t>
      </w:r>
    </w:p>
    <w:p w14:paraId="5DE4657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（8）采取必要措施，确保交通、通信、供水、排水、供电、供气等公共设施的安全和正常运行。</w:t>
      </w:r>
    </w:p>
    <w:p w14:paraId="1E1606F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3.供水危机预警行动</w:t>
      </w:r>
    </w:p>
    <w:p w14:paraId="4E14FB3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当因供水水源短缺或被破坏、供水线路中断、供水水质被侵害等原因而出现供水危机，由区防汛抗旱指挥部向社会公布预警，居民、企事业单位做好储备应急用水的准备，有关部门做好应急供水的准备。</w:t>
      </w:r>
    </w:p>
    <w:p w14:paraId="15F5E7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19" w:name="_Toc8360"/>
      <w:r>
        <w:rPr>
          <w:rFonts w:hint="eastAsia" w:ascii="黑体" w:hAnsi="黑体" w:eastAsia="黑体" w:cs="黑体"/>
          <w:color w:val="auto"/>
          <w:spacing w:val="0"/>
          <w:position w:val="0"/>
          <w:sz w:val="32"/>
          <w:szCs w:val="32"/>
          <w:lang w:eastAsia="zh-CN"/>
        </w:rPr>
        <w:t>六、应急处置措施</w:t>
      </w:r>
      <w:bookmarkEnd w:id="19"/>
    </w:p>
    <w:p w14:paraId="15CADB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position w:val="0"/>
          <w:sz w:val="32"/>
          <w:szCs w:val="32"/>
          <w:lang w:eastAsia="zh-CN"/>
        </w:rPr>
      </w:pPr>
      <w:bookmarkStart w:id="20" w:name="_Toc17380"/>
      <w:r>
        <w:rPr>
          <w:rFonts w:ascii="楷体" w:hAnsi="楷体" w:eastAsia="楷体" w:cs="楷体"/>
          <w:b w:val="0"/>
          <w:bCs w:val="0"/>
          <w:color w:val="auto"/>
          <w:spacing w:val="0"/>
          <w:position w:val="0"/>
          <w:sz w:val="32"/>
          <w:szCs w:val="32"/>
          <w:lang w:eastAsia="zh-CN"/>
        </w:rPr>
        <w:t>（一）应急响应的分级和总体要求</w:t>
      </w:r>
      <w:bookmarkEnd w:id="20"/>
    </w:p>
    <w:p w14:paraId="2264B46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1.应急响应级别</w:t>
      </w:r>
    </w:p>
    <w:p w14:paraId="0C696C9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预案应急响应分级与干旱灾害预警等级相对应，发布干旱灾害预警的同时，即启动相应等级的应急响应：I级（特别重大干旱灾害）响应、Ⅱ级（重大干旱灾害）响应、Ⅲ级（较大干旱灾害）响应和Ⅳ级（一般干旱灾害）响应。</w:t>
      </w:r>
    </w:p>
    <w:p w14:paraId="4377DE4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黑体" w:hAnsi="黑体" w:eastAsia="黑体" w:cs="黑体"/>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2.应急响应的总体布置</w:t>
      </w:r>
    </w:p>
    <w:p w14:paraId="6896580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（1）进入旱期，区防汛抗旱指挥部全程跟踪雨情、水情、旱情、灾情。各级抗旱机构实行24小时值班制度，并根据不同情况启动相关的应急程序。</w:t>
      </w:r>
    </w:p>
    <w:p w14:paraId="6ABCCEE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（2）旱灾发生后，由区人民政府及区防汛抗旱指挥部负责组织实施抗旱减灾和抗旱救灾等方面的工作。</w:t>
      </w:r>
    </w:p>
    <w:p w14:paraId="685A48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（3）对跨区域发生的旱灾，或者突发事件将影响到邻近行政区域，区防汛抗旱指挥部报告区人民政府和市防汛抗旱指挥部，并及时向基层受影响区域的防汛抗旱指挥部通报情况。</w:t>
      </w:r>
    </w:p>
    <w:p w14:paraId="6A8E46D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3.应急响应</w:t>
      </w:r>
    </w:p>
    <w:p w14:paraId="6F40CE6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（1）组织指挥</w:t>
      </w:r>
    </w:p>
    <w:p w14:paraId="243AD12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区防汛抗旱指挥部在区委、区政府的领导下，行使全区抗旱指挥权；发生严重旱情时，区防汛抗旱指挥部有权在全区征用抗旱物资，任何单位和个人必须服从大局，主动配合。</w:t>
      </w:r>
    </w:p>
    <w:p w14:paraId="7F77BF7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outlineLvl w:val="9"/>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（2）信息发布</w:t>
      </w:r>
    </w:p>
    <w:p w14:paraId="2FF9AF7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区防汛抗旱指挥部负责发布旱情和灾情信息，任何其他部门及个人未经区防汛抗旱指挥部同意，不得发布有关旱情和灾情信息。</w:t>
      </w:r>
    </w:p>
    <w:p w14:paraId="18CE5E8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4.应急响应启动程序</w:t>
      </w:r>
    </w:p>
    <w:p w14:paraId="400C134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Ⅳ、Ⅲ级应急响应的启动由区防汛抗旱指挥部办公室根据情况提出请示，报区防汛抗旱指挥部副总指挥批准，以区防汛抗旱指挥部名义发布；Ⅱ、Ⅰ级应急响应的启动由区防汛抗旱指挥部办公室报请区防汛抗旱指挥部总指挥批准，以区防汛抗旱指挥部名义发布。</w:t>
      </w:r>
    </w:p>
    <w:p w14:paraId="2A4CDF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1" w:name="_Toc17496"/>
      <w:r>
        <w:rPr>
          <w:rFonts w:hint="eastAsia" w:ascii="楷体" w:hAnsi="楷体" w:eastAsia="楷体" w:cs="楷体"/>
          <w:b w:val="0"/>
          <w:bCs w:val="0"/>
          <w:color w:val="auto"/>
          <w:spacing w:val="0"/>
          <w:position w:val="0"/>
          <w:sz w:val="32"/>
          <w:szCs w:val="32"/>
          <w:lang w:eastAsia="zh-CN"/>
        </w:rPr>
        <w:t>（二）抗旱Ⅳ级响应</w:t>
      </w:r>
      <w:bookmarkEnd w:id="21"/>
    </w:p>
    <w:p w14:paraId="6238D7A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1.出现下列情况之一者，启动Ⅳ级响应</w:t>
      </w:r>
    </w:p>
    <w:p w14:paraId="39B602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（1）春季受旱面积占全区播种面积的比例达到15%至25%。</w:t>
      </w:r>
    </w:p>
    <w:p w14:paraId="167B70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（2）夏伏季受旱面积占全区播种面积的比例达到10%至20%。</w:t>
      </w:r>
    </w:p>
    <w:p w14:paraId="189866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（3）两个街道或村屯日供水量低于正常日用水量的25%，且旱情有继续加重趋势。</w:t>
      </w:r>
    </w:p>
    <w:p w14:paraId="299A46F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2.响应行动</w:t>
      </w:r>
    </w:p>
    <w:p w14:paraId="1EA1FA4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（1）区防汛抗旱指挥部发布蓝色预警。启动抗旱Ⅳ级响应，向基层防汛抗旱指挥部通报旱情。</w:t>
      </w:r>
    </w:p>
    <w:p w14:paraId="470C441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区防汛抗旱指挥部办公室主任主持会商，相关成员单位派员参加，作出相应工作安排。区防汛抗旱指挥部办公室向区防汛抗旱指挥部总指挥、副总指挥报告情况，同时上报区委、区政府、市防汛抗旱指挥部。</w:t>
      </w:r>
    </w:p>
    <w:p w14:paraId="3C9E458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（3）街道办事处、村屯防汛抗旱领导机构严格按照报告制度上报旱情。区防汛抗旱指挥部办公室对所接报旱情信息进行分析整理，上报区政府和市防汛抗旱指挥部办公室。</w:t>
      </w:r>
    </w:p>
    <w:p w14:paraId="1EDE5E4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（4）区防汛抗旱指挥部做好旱情监测、预报工作，及时了解社会各方面用水需求，及时上报旱情变化；做好抗旱水源的管理调度工作。</w:t>
      </w:r>
    </w:p>
    <w:p w14:paraId="53D49F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2" w:name="_Toc9333"/>
      <w:r>
        <w:rPr>
          <w:rFonts w:hint="eastAsia" w:ascii="楷体" w:hAnsi="楷体" w:eastAsia="楷体" w:cs="楷体"/>
          <w:b w:val="0"/>
          <w:bCs w:val="0"/>
          <w:color w:val="auto"/>
          <w:spacing w:val="0"/>
          <w:position w:val="0"/>
          <w:sz w:val="32"/>
          <w:szCs w:val="32"/>
          <w:lang w:eastAsia="zh-CN"/>
        </w:rPr>
        <w:t>（三）抗旱Ⅲ级响应</w:t>
      </w:r>
      <w:bookmarkEnd w:id="22"/>
    </w:p>
    <w:p w14:paraId="1EF39CF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1.出现下列情况之一者，启动Ⅲ级响应</w:t>
      </w:r>
    </w:p>
    <w:p w14:paraId="02DA71B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（1）春季受旱面积占全区播种面积的比例达到25%至35%。</w:t>
      </w:r>
    </w:p>
    <w:p w14:paraId="1148A7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（2）夏伏季受旱面积占全区播种面积的比例达到20%至30%。</w:t>
      </w:r>
    </w:p>
    <w:p w14:paraId="2B3DCBC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（3）三个街道或村屯日供水量低于正常日用水量25%，且旱情有继续加重趋势。</w:t>
      </w:r>
    </w:p>
    <w:p w14:paraId="7CBFA69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黑体" w:hAnsi="黑体" w:eastAsia="黑体" w:cs="黑体"/>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2.较大干旱灾害工作方案</w:t>
      </w:r>
    </w:p>
    <w:p w14:paraId="5F68225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（1）区防汛抗旱指挥部发布黄色预警。启动抗旱Ⅲ级响应，向基层防汛抗旱指挥部通报旱情。</w:t>
      </w:r>
    </w:p>
    <w:p w14:paraId="38FA31C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（2）区防汛抗旱指挥部副总指挥组织指挥部成员单位负责人及相关专家进行会商，作出相应工作安排。</w:t>
      </w:r>
    </w:p>
    <w:p w14:paraId="7153A44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（3）各成员单位按照职责开展相应工作，区防汛抗旱指挥部办公室向区防汛抗旱指挥部负责日常工作的副总指挥报告旱情，同时上报区委、区政府和市防汛抗旱指挥部。旱情较为严重的地方，加报旱情信息。</w:t>
      </w:r>
    </w:p>
    <w:p w14:paraId="30D16E7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（4）区防汛抗旱指挥部做好旱情监测、预报工作，及时了解社会各方面用水需求，及时上报旱情变化；做好抗旱水源的管理调度工作。</w:t>
      </w:r>
    </w:p>
    <w:p w14:paraId="6D869F45">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（5）区防汛抗旱指挥部下发防旱抗旱通知，提出抗旱防旱的对策和具体要求，下达指导性抗旱灌溉任务。</w:t>
      </w:r>
    </w:p>
    <w:p w14:paraId="6098F91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3" w:name="_Toc16353"/>
      <w:r>
        <w:rPr>
          <w:rFonts w:hint="eastAsia" w:ascii="楷体" w:hAnsi="楷体" w:eastAsia="楷体" w:cs="楷体"/>
          <w:b w:val="0"/>
          <w:bCs w:val="0"/>
          <w:color w:val="auto"/>
          <w:spacing w:val="0"/>
          <w:position w:val="0"/>
          <w:sz w:val="32"/>
          <w:szCs w:val="32"/>
          <w:lang w:eastAsia="zh-CN"/>
        </w:rPr>
        <w:t>（四）抗旱Ⅱ级响应</w:t>
      </w:r>
      <w:bookmarkEnd w:id="23"/>
    </w:p>
    <w:p w14:paraId="6798340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1.出现下列情况之一者，启动Ⅱ级响应</w:t>
      </w:r>
    </w:p>
    <w:p w14:paraId="5510E07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（1）春季受旱面积占全区播种面积的比例达到35%至45%。</w:t>
      </w:r>
    </w:p>
    <w:p w14:paraId="0380DD2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（2）夏伏季受旱面积占全区播种面积的比例达到30%至40%。</w:t>
      </w:r>
    </w:p>
    <w:p w14:paraId="01AFD39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（3）四个街道或村屯日供水量低于正常日用水量30%，且旱情有继续加重趋势。</w:t>
      </w:r>
    </w:p>
    <w:p w14:paraId="51542B5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黑体" w:hAnsi="黑体" w:eastAsia="黑体" w:cs="黑体"/>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2.重大干旱灾害工作方案</w:t>
      </w:r>
    </w:p>
    <w:p w14:paraId="250F249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（1）区防汛抗旱指挥部发布橙色预警。启动抗旱Ⅱ级响应，向基层防汛抗旱指挥部通报旱情，并报市防汛抗旱指挥部备案。</w:t>
      </w:r>
    </w:p>
    <w:p w14:paraId="50FA7A2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（2）区防汛抗旱指挥部总指挥召开会议组织会商，区防汛抗旱指挥部成员单位负责同志参加。各成员单位按照职责开展相应工作。</w:t>
      </w:r>
    </w:p>
    <w:p w14:paraId="342C51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（3）进一步加强旱情监测和分析预报工作，及时掌握旱情灾情及其发展变化趋势，及时通报旱情信息和抗旱情况。</w:t>
      </w:r>
    </w:p>
    <w:p w14:paraId="234646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（4）区防汛抗旱指挥部办公室督促成员单位落实抗旱职责，做好抗旱水源的统一管理和调度工作，落实应急抗旱资金和抗旱物资。</w:t>
      </w:r>
    </w:p>
    <w:p w14:paraId="59FFB8A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（5）区委宣传部牵头做好抗旱工作的宣传。</w:t>
      </w:r>
    </w:p>
    <w:p w14:paraId="425C3D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（6）对重点受旱地区，区防汛抗旱指挥部可以向区委、区政府请示，也可以经区委、区政府批准后向市政府请示拨付抗旱资金，实施各项抗旱措施。</w:t>
      </w:r>
    </w:p>
    <w:p w14:paraId="679F20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4" w:name="_Toc22986"/>
      <w:r>
        <w:rPr>
          <w:rFonts w:hint="eastAsia" w:ascii="楷体" w:hAnsi="楷体" w:eastAsia="楷体" w:cs="楷体"/>
          <w:b w:val="0"/>
          <w:bCs w:val="0"/>
          <w:color w:val="auto"/>
          <w:spacing w:val="0"/>
          <w:position w:val="0"/>
          <w:sz w:val="32"/>
          <w:szCs w:val="32"/>
          <w:lang w:eastAsia="zh-CN"/>
        </w:rPr>
        <w:t>（五）抗旱Ⅰ级响应</w:t>
      </w:r>
      <w:bookmarkEnd w:id="24"/>
    </w:p>
    <w:p w14:paraId="5EA01D8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w:t>
      </w:r>
      <w:r>
        <w:rPr>
          <w:rFonts w:hint="eastAsia" w:ascii="仿宋" w:hAnsi="仿宋" w:eastAsia="仿宋" w:cs="仿宋"/>
          <w:color w:val="auto"/>
          <w:spacing w:val="0"/>
          <w:position w:val="0"/>
          <w:sz w:val="32"/>
          <w:szCs w:val="32"/>
          <w:lang w:eastAsia="zh-CN"/>
        </w:rPr>
        <w:t>.</w:t>
      </w:r>
      <w:r>
        <w:rPr>
          <w:rFonts w:hint="eastAsia" w:ascii="仿宋" w:hAnsi="仿宋" w:eastAsia="仿宋" w:cs="仿宋"/>
          <w:b/>
          <w:bCs/>
          <w:color w:val="auto"/>
          <w:spacing w:val="0"/>
          <w:position w:val="0"/>
          <w:sz w:val="32"/>
          <w:szCs w:val="32"/>
          <w:lang w:eastAsia="zh-CN"/>
        </w:rPr>
        <w:t>出现下列情况之一者，启动Ⅰ级响应</w:t>
      </w:r>
    </w:p>
    <w:p w14:paraId="3F999CD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（1）春季受旱面积占全区播种面积的比例超过45%。</w:t>
      </w:r>
    </w:p>
    <w:p w14:paraId="03227A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（2）夏伏季受旱面积占全区播种面积的比例超过40%。</w:t>
      </w:r>
    </w:p>
    <w:p w14:paraId="5CC592D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（3）五个街道或村屯日供水量低于正常日用水量30%，且旱情有继续加重趋势。</w:t>
      </w:r>
    </w:p>
    <w:p w14:paraId="229F7E2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2.特别重大干旱灾害工作方案</w:t>
      </w:r>
    </w:p>
    <w:p w14:paraId="5BB8720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（1）区防汛抗旱指挥部发布红色预警。启动抗旱Ⅰ级响应，向基层防汛抗旱指挥部通报旱情，并报市防汛抗旱指挥部备案。</w:t>
      </w:r>
    </w:p>
    <w:p w14:paraId="4DFBE6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（2）强化区长抗旱责任制，确保城乡居民生活和重点企业用水安全，维护灾区社会稳定。</w:t>
      </w:r>
    </w:p>
    <w:p w14:paraId="53D38D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（3）区防汛抗旱指挥部总指挥召开会议组织会商，区防汛抗旱指挥部成员单位负责同志参加，强化抗旱水源的科学调度和用水管理，各有关部门按照防指的统一指挥部署，协调联动，全面做好抗旱工作。</w:t>
      </w:r>
    </w:p>
    <w:p w14:paraId="75EB98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（4）发生特别重大干旱灾害，严重危及城乡居民生活、生产用水安全，可能影响社会稳定时，区防汛抗旱指挥部提请区政府批准，宣布该区域进入紧急抗旱期，并向市防汛抗旱指挥部报告。</w:t>
      </w:r>
    </w:p>
    <w:p w14:paraId="6A3D74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根据市防汛抗旱指挥部发布的旱情信息，区防汛抗旱指挥部密切监测旱情、灾情，及时分析旱情发展变化趋势，随时掌握旱情灾情及抗旱工作情况，及时分析旱情灾情对经济社会发展的影响，适时向社会通报旱情信息。</w:t>
      </w:r>
    </w:p>
    <w:p w14:paraId="52B1A9A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（6）区委、区政府动员社会各方面力量支援抗旱救灾工作。</w:t>
      </w:r>
    </w:p>
    <w:p w14:paraId="04C623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（7）区委宣传部等部门加强旱情灾情及抗旱工作的宣传。</w:t>
      </w:r>
    </w:p>
    <w:p w14:paraId="405AB7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（8）对重点受旱地区，区委、区政府向市政府请示拨付抗旱资金，实施各项抗旱措施。</w:t>
      </w:r>
    </w:p>
    <w:p w14:paraId="7350610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bCs/>
          <w:color w:val="auto"/>
          <w:spacing w:val="0"/>
          <w:position w:val="0"/>
          <w:sz w:val="32"/>
          <w:szCs w:val="32"/>
          <w:lang w:eastAsia="zh-CN"/>
        </w:rPr>
      </w:pPr>
      <w:bookmarkStart w:id="25" w:name="_Toc10553"/>
      <w:r>
        <w:rPr>
          <w:rFonts w:ascii="楷体" w:hAnsi="楷体" w:eastAsia="楷体" w:cs="楷体"/>
          <w:b w:val="0"/>
          <w:bCs w:val="0"/>
          <w:color w:val="auto"/>
          <w:spacing w:val="0"/>
          <w:position w:val="0"/>
          <w:sz w:val="32"/>
          <w:szCs w:val="32"/>
          <w:lang w:eastAsia="zh-CN"/>
        </w:rPr>
        <w:t>（六）基础应急响应措施</w:t>
      </w:r>
      <w:bookmarkEnd w:id="25"/>
    </w:p>
    <w:p w14:paraId="6DA77C1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rPr>
        <w:t>1</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利用工程增加抗旱水源。</w:t>
      </w:r>
      <w:r>
        <w:rPr>
          <w:rFonts w:hint="eastAsia" w:ascii="仿宋" w:hAnsi="仿宋" w:eastAsia="仿宋" w:cs="仿宋"/>
          <w:color w:val="auto"/>
          <w:spacing w:val="0"/>
          <w:position w:val="0"/>
          <w:sz w:val="32"/>
          <w:szCs w:val="32"/>
          <w:lang w:eastAsia="zh-CN"/>
        </w:rPr>
        <w:t>干旱期间，各地要通过打抗旱井、修建二级提水泵站、架设临时提水泵站、修建临时截流工程、修建固定储水罐、依法启用企业自备井、动用城市备用水源等措施，努力增加抗旱水源。使用再生水、退水等非常规水源。向市防汛抗旱指挥部申请支援，实施人工增雨作业。</w:t>
      </w:r>
    </w:p>
    <w:p w14:paraId="4D509F3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采取紧急时期的限水措施。农业干旱采取压缩用水定额措施，缩小农业供水范围或者减少农业供水量，维持作物不死苗；城市采取限量供水，定时供水等措施渡过缺水难关，必要时限制或者暂停洗浴、洗车等高耗水行业，限制或者暂停排放工业污水，限时或者限量供应城镇居民生活用水等措施。组织向人畜饮水困难地区送水。</w:t>
      </w:r>
    </w:p>
    <w:p w14:paraId="28F94D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3.启动抗旱服务组织跨区域支援旱区。发生较大以上级别干旱时，区防汛抗旱指挥部统一调度全区抗旱服务组织，通过赴旱区打井、架设临时引提水设施、流动浇地、租赁设备等方式，支援干旱地区的抗旱工作。</w:t>
      </w:r>
    </w:p>
    <w:p w14:paraId="7F17B6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4.区防汛抗旱指挥部可以向市防汛抗旱指挥部申请调水支援。</w:t>
      </w:r>
    </w:p>
    <w:p w14:paraId="4BBB6EB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26" w:name="_Toc32349"/>
      <w:r>
        <w:rPr>
          <w:rFonts w:hint="eastAsia" w:ascii="黑体" w:hAnsi="黑体" w:eastAsia="黑体" w:cs="黑体"/>
          <w:color w:val="auto"/>
          <w:spacing w:val="0"/>
          <w:position w:val="0"/>
          <w:sz w:val="32"/>
          <w:szCs w:val="32"/>
          <w:lang w:eastAsia="zh-CN"/>
        </w:rPr>
        <w:t>七、信息报告</w:t>
      </w:r>
      <w:bookmarkEnd w:id="26"/>
    </w:p>
    <w:p w14:paraId="709247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7" w:name="_Toc9162"/>
      <w:r>
        <w:rPr>
          <w:rFonts w:ascii="楷体" w:hAnsi="楷体" w:eastAsia="楷体" w:cs="楷体"/>
          <w:b w:val="0"/>
          <w:bCs w:val="0"/>
          <w:color w:val="auto"/>
          <w:spacing w:val="0"/>
          <w:position w:val="0"/>
          <w:sz w:val="32"/>
          <w:szCs w:val="32"/>
          <w:lang w:eastAsia="zh-CN"/>
        </w:rPr>
        <w:t>（一）信息报送和处理</w:t>
      </w:r>
      <w:bookmarkEnd w:id="27"/>
    </w:p>
    <w:p w14:paraId="36D1CDD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雨情、旱情、水情、灾情等抗旱信息实行分级上报，归因处理，同级共享。</w:t>
      </w:r>
    </w:p>
    <w:p w14:paraId="29D2845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抗旱信息的报送和处理，应快速、准确、详实，重要信息应立即上报，因客观原因一时难以准确掌握的信息，应及时报告基本情况，同时抓紧了解情况，随后补报详情。</w:t>
      </w:r>
    </w:p>
    <w:p w14:paraId="0C2C42F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各街道办事处、村屯对于雨情、旱情、水情、灾情及时处理，并报送区防汛抗旱指挥部。凡因灾情较重，一时难以处理，需要市级机构帮助、指导处理的，区防汛抗旱指挥部可向市防汛抗旱指挥部值班室上报。</w:t>
      </w:r>
    </w:p>
    <w:p w14:paraId="1911E88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对于接收到的干旱灾害信息，区防汛抗旱指挥部应立即调查，对存在的问题，及时采取措施，切实加以解决。</w:t>
      </w:r>
    </w:p>
    <w:p w14:paraId="5F1170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8" w:name="_Toc14182"/>
      <w:r>
        <w:rPr>
          <w:rFonts w:ascii="楷体" w:hAnsi="楷体" w:eastAsia="楷体" w:cs="楷体"/>
          <w:b w:val="0"/>
          <w:bCs w:val="0"/>
          <w:color w:val="auto"/>
          <w:spacing w:val="0"/>
          <w:position w:val="0"/>
          <w:sz w:val="32"/>
          <w:szCs w:val="32"/>
          <w:lang w:eastAsia="zh-CN"/>
        </w:rPr>
        <w:t>（二）信息发布</w:t>
      </w:r>
      <w:bookmarkEnd w:id="28"/>
    </w:p>
    <w:p w14:paraId="3B1513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旱情、旱灾由区防汛抗旱指挥部统一审核、发布。</w:t>
      </w:r>
    </w:p>
    <w:p w14:paraId="32A54F4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抗旱的信息发布应当及时、准确、客观、全面。</w:t>
      </w:r>
    </w:p>
    <w:p w14:paraId="0ADF2C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信息发布形式主要包括授权发布、散发新闻稿、组织报道、接受记者采访、举行新闻发布会等。</w:t>
      </w:r>
    </w:p>
    <w:p w14:paraId="2EB2D0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29" w:name="_Toc22939"/>
      <w:r>
        <w:rPr>
          <w:rFonts w:ascii="楷体" w:hAnsi="楷体" w:eastAsia="楷体" w:cs="楷体"/>
          <w:b w:val="0"/>
          <w:bCs w:val="0"/>
          <w:color w:val="auto"/>
          <w:spacing w:val="0"/>
          <w:position w:val="0"/>
          <w:sz w:val="32"/>
          <w:szCs w:val="32"/>
          <w:lang w:eastAsia="zh-CN"/>
        </w:rPr>
        <w:t>（三）指挥和调度</w:t>
      </w:r>
      <w:bookmarkEnd w:id="29"/>
    </w:p>
    <w:p w14:paraId="1CE3586A">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出现旱灾后，基层防汛抗旱指挥部应立即启动应急预案。在采取紧急措施的同时向区防汛抗旱指挥部报告。根据现场情况，及时收集、掌握相关信息，判明事件的性质和危害程度，并及时上报事态的发展变化情况。</w:t>
      </w:r>
    </w:p>
    <w:p w14:paraId="58C3930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事发地防汛抗旱指挥部负责人应迅速上岗到位，分析事件性质，预测事态发展趋势和可能造成的危害程度，并按照规定的处置程序，组织指挥有关单位按照职责分工，迅速采取处置措施，控制事态发展。</w:t>
      </w:r>
    </w:p>
    <w:p w14:paraId="61EB658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发生较大及以上干旱灾害后，区防汛抗旱指挥部应派出由领导带队的工作组赶赴现场，加强领导，指导工作。</w:t>
      </w:r>
    </w:p>
    <w:p w14:paraId="1EA3CA6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0" w:name="_Toc25041"/>
      <w:r>
        <w:rPr>
          <w:rFonts w:ascii="楷体" w:hAnsi="楷体" w:eastAsia="楷体" w:cs="楷体"/>
          <w:b w:val="0"/>
          <w:bCs w:val="0"/>
          <w:color w:val="auto"/>
          <w:spacing w:val="0"/>
          <w:position w:val="0"/>
          <w:sz w:val="32"/>
          <w:szCs w:val="32"/>
          <w:lang w:eastAsia="zh-CN"/>
        </w:rPr>
        <w:t>（四）社会力量动员与参与</w:t>
      </w:r>
      <w:bookmarkEnd w:id="30"/>
    </w:p>
    <w:p w14:paraId="0C98DF1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广泛调动社会力量积极参与抗旱应急的处置，在紧急抗旱期，防汛抗旱指挥部根据抗旱工作的需要，有权决定在其管辖范围内征用人员、物资、设备、交通运输工具等，参与救灾工作。</w:t>
      </w:r>
    </w:p>
    <w:p w14:paraId="5FB3FB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1" w:name="_Toc10974"/>
      <w:r>
        <w:rPr>
          <w:rFonts w:ascii="楷体" w:hAnsi="楷体" w:eastAsia="楷体" w:cs="楷体"/>
          <w:b w:val="0"/>
          <w:bCs w:val="0"/>
          <w:color w:val="auto"/>
          <w:spacing w:val="0"/>
          <w:position w:val="0"/>
          <w:sz w:val="32"/>
          <w:szCs w:val="32"/>
          <w:lang w:eastAsia="zh-CN"/>
        </w:rPr>
        <w:t>（五）响应结束</w:t>
      </w:r>
      <w:bookmarkEnd w:id="31"/>
    </w:p>
    <w:p w14:paraId="16B6FA0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当干旱灾害得到有效控制时，区防汛抗旱指挥部可视旱情宣布结束应急响应。Ⅳ、Ⅲ级应急响应的结束应由区防汛抗旱指挥部办公室根据情况提出请示，经区防汛抗旱指挥部总指挥批准，以区防汛抗旱指挥部名义发布；Ⅱ、Ⅰ级应急响应的结束应由区防汛抗旱指挥部申请，经市防汛抗旱指挥部批准，以区防汛抗旱指挥部名义发布。</w:t>
      </w:r>
    </w:p>
    <w:p w14:paraId="04A2F035">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响应结束后，各街道办事处、村屯积极恢复正常生活、生产秩序，尽可能减少干旱灾害造成的损失和影响。</w:t>
      </w:r>
    </w:p>
    <w:p w14:paraId="79E5D8E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2" w:name="_Toc24604"/>
      <w:r>
        <w:rPr>
          <w:rFonts w:ascii="楷体" w:hAnsi="楷体" w:eastAsia="楷体" w:cs="楷体"/>
          <w:b w:val="0"/>
          <w:bCs w:val="0"/>
          <w:color w:val="auto"/>
          <w:spacing w:val="0"/>
          <w:position w:val="0"/>
          <w:sz w:val="32"/>
          <w:szCs w:val="32"/>
          <w:lang w:eastAsia="zh-CN"/>
        </w:rPr>
        <w:t>（六）后期处置</w:t>
      </w:r>
      <w:bookmarkEnd w:id="32"/>
    </w:p>
    <w:p w14:paraId="01BFD45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1.善后处置</w:t>
      </w:r>
    </w:p>
    <w:p w14:paraId="3742CC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依照有关紧急抗旱规定征用或调用的物资、设备、交通运输工具和人力，应急处置工作结束后应当及时归还；财产被征用或者征用后毁损、灭失的，应当给予补偿；调用的物资、设备、交通运输工具等造成损坏或者无法归还的，按照有关规定给予适当补偿或者作其他处理。</w:t>
      </w:r>
    </w:p>
    <w:p w14:paraId="18B4C65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2.总结评价</w:t>
      </w:r>
    </w:p>
    <w:p w14:paraId="6A2A3F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抗旱工作结束后，区防汛抗旱指挥部组织街道办事处、村屯及其他有关部门针对抗旱工作的各个方面和环节进行定性和定量的总结、分析、评估。</w:t>
      </w:r>
    </w:p>
    <w:p w14:paraId="71DEF5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引进外部评价机制，征求社会各界和群众对抗旱工作的意见和建议，总结经验，找出问题，从抗旱工程的规划、设计、运行、管理以及抗旱工作等各个方面提出改进建议，以进一步做好抗旱工作。</w:t>
      </w:r>
    </w:p>
    <w:p w14:paraId="118072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33" w:name="_Toc12004"/>
      <w:r>
        <w:rPr>
          <w:rFonts w:hint="eastAsia" w:ascii="黑体" w:hAnsi="黑体" w:eastAsia="黑体" w:cs="黑体"/>
          <w:color w:val="auto"/>
          <w:spacing w:val="0"/>
          <w:position w:val="0"/>
          <w:sz w:val="32"/>
          <w:szCs w:val="32"/>
          <w:lang w:eastAsia="zh-CN"/>
        </w:rPr>
        <w:t>八、队伍物资保障</w:t>
      </w:r>
      <w:bookmarkEnd w:id="33"/>
    </w:p>
    <w:p w14:paraId="07AEDD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4" w:name="_Toc22513"/>
      <w:r>
        <w:rPr>
          <w:rFonts w:ascii="楷体" w:hAnsi="楷体" w:eastAsia="楷体" w:cs="楷体"/>
          <w:b w:val="0"/>
          <w:bCs w:val="0"/>
          <w:color w:val="auto"/>
          <w:spacing w:val="0"/>
          <w:position w:val="0"/>
          <w:sz w:val="32"/>
          <w:szCs w:val="32"/>
          <w:lang w:eastAsia="zh-CN"/>
        </w:rPr>
        <w:t>（一）通信与信息保障</w:t>
      </w:r>
      <w:bookmarkEnd w:id="34"/>
    </w:p>
    <w:p w14:paraId="5A7A21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工信局负责协调相关部门保障防汛抗旱指挥部通信畅通，确保与外界的联络。广播、电视、互联网、报刊等媒体以及手机等通信运营企业应确保抗旱救灾、气象、水文等信息的及时播发、刊登和以短信、微信等形式发布。</w:t>
      </w:r>
    </w:p>
    <w:p w14:paraId="1A52608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5" w:name="_Toc14793"/>
      <w:r>
        <w:rPr>
          <w:rFonts w:ascii="楷体" w:hAnsi="楷体" w:eastAsia="楷体" w:cs="楷体"/>
          <w:b w:val="0"/>
          <w:bCs w:val="0"/>
          <w:color w:val="auto"/>
          <w:spacing w:val="0"/>
          <w:position w:val="0"/>
          <w:sz w:val="32"/>
          <w:szCs w:val="32"/>
          <w:lang w:eastAsia="zh-CN"/>
        </w:rPr>
        <w:t>（二）应急队伍与装备保障</w:t>
      </w:r>
      <w:bookmarkEnd w:id="35"/>
    </w:p>
    <w:p w14:paraId="654D604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1.应急队伍保障</w:t>
      </w:r>
    </w:p>
    <w:p w14:paraId="6474343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（1）在抗旱期间，区政府和区防汛抗旱指挥部应组织动员社会公众力量投入抗旱救灾工作。</w:t>
      </w:r>
    </w:p>
    <w:p w14:paraId="59046F2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抗旱服务组织是农业社会化服务体系的重要组成部分，在干旱灾害时期应直接为受旱地区农民提供生活用水、流动灌溉，维修保养抗旱机具，租赁、销售抗旱物资，提供抗旱信息和技术咨询等方面的服务。如受旱区域确实无水源，群众的生活用水无法满足时，应组织车辆运输生活用水，满足受灾群众对生活用水的需求，必要时采用消防车辆运水。</w:t>
      </w:r>
    </w:p>
    <w:p w14:paraId="1A2851E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2.供电保障</w:t>
      </w:r>
    </w:p>
    <w:p w14:paraId="17DBE47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区工信局负责协调市供电部门，保证抗旱救灾的供电需要和应急救援现场的临时供电。</w:t>
      </w:r>
    </w:p>
    <w:p w14:paraId="69D95E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3.交通运输保障</w:t>
      </w:r>
    </w:p>
    <w:p w14:paraId="531520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向阳交警大队做好道路交通管理，优先保证抗旱救灾物资运输。</w:t>
      </w:r>
    </w:p>
    <w:p w14:paraId="6C7A876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4.医疗保障</w:t>
      </w:r>
    </w:p>
    <w:p w14:paraId="33AA6D7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区卫健局及防疫部门主要负责旱灾区疾病防治的业务技术指导；组织医疗卫生队赴灾区巡医问诊，负责灾区防疫消毒、抢救伤员等工作。</w:t>
      </w:r>
    </w:p>
    <w:p w14:paraId="2C36344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5.治安保障</w:t>
      </w:r>
    </w:p>
    <w:p w14:paraId="3680CE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向阳公安分局、基层派出所主要负责做好旱灾区的治安管理工作，依法严厉打击破坏抗旱救灾行动和工程设施安全的行为，保证抗灾救灾工作顺利进行，维护灾区社会治安秩序。</w:t>
      </w:r>
    </w:p>
    <w:p w14:paraId="067939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6" w:name="_Toc26035"/>
      <w:r>
        <w:rPr>
          <w:rFonts w:ascii="楷体" w:hAnsi="楷体" w:eastAsia="楷体" w:cs="楷体"/>
          <w:b w:val="0"/>
          <w:bCs w:val="0"/>
          <w:color w:val="auto"/>
          <w:spacing w:val="0"/>
          <w:position w:val="0"/>
          <w:sz w:val="32"/>
          <w:szCs w:val="32"/>
          <w:lang w:eastAsia="zh-CN"/>
        </w:rPr>
        <w:t>（三）资金保障</w:t>
      </w:r>
      <w:bookmarkEnd w:id="36"/>
    </w:p>
    <w:p w14:paraId="73ADFE6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区应急局、区财政局等部门负责救灾计划的制定和资金下拨。特别重大干旱灾害的应急资金由应急管理局、财政局向市财政、省财政申请资金救助。</w:t>
      </w:r>
    </w:p>
    <w:p w14:paraId="750649F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7" w:name="_Toc29776"/>
      <w:r>
        <w:rPr>
          <w:rFonts w:ascii="楷体" w:hAnsi="楷体" w:eastAsia="楷体" w:cs="楷体"/>
          <w:b w:val="0"/>
          <w:bCs w:val="0"/>
          <w:color w:val="auto"/>
          <w:spacing w:val="0"/>
          <w:position w:val="0"/>
          <w:sz w:val="32"/>
          <w:szCs w:val="32"/>
          <w:lang w:eastAsia="zh-CN"/>
        </w:rPr>
        <w:t>（四）物资保障</w:t>
      </w:r>
      <w:bookmarkEnd w:id="37"/>
    </w:p>
    <w:p w14:paraId="0D50E67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1.物资储备</w:t>
      </w:r>
    </w:p>
    <w:p w14:paraId="73A5692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（1）抗旱物资储备。</w:t>
      </w:r>
      <w:r>
        <w:rPr>
          <w:rFonts w:hint="eastAsia" w:ascii="仿宋" w:hAnsi="仿宋" w:eastAsia="仿宋" w:cs="仿宋"/>
          <w:color w:val="auto"/>
          <w:spacing w:val="0"/>
          <w:position w:val="0"/>
          <w:sz w:val="32"/>
          <w:szCs w:val="32"/>
          <w:lang w:eastAsia="zh-CN"/>
        </w:rPr>
        <w:t>区各分指挥部应当贮备一定数量的抗旱物资，由区防汛抗旱指挥部负责调用。</w:t>
      </w:r>
    </w:p>
    <w:p w14:paraId="2BC09AF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（2）抗旱水源储备</w:t>
      </w:r>
      <w:r>
        <w:rPr>
          <w:rFonts w:hint="eastAsia" w:ascii="仿宋" w:hAnsi="仿宋" w:eastAsia="仿宋" w:cs="仿宋"/>
          <w:color w:val="auto"/>
          <w:spacing w:val="0"/>
          <w:position w:val="0"/>
          <w:sz w:val="32"/>
          <w:szCs w:val="32"/>
          <w:lang w:eastAsia="zh-CN"/>
        </w:rPr>
        <w:t>。严重缺水的街道办事处、村屯应建立应急供水机制，制定应急供水备用水源方案。</w:t>
      </w:r>
    </w:p>
    <w:p w14:paraId="1705075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2.物资调拨</w:t>
      </w:r>
    </w:p>
    <w:p w14:paraId="36F83F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（1）区抗旱物资调拨程序：区抗旱物资的调用，由区防汛抗旱指挥部办公室向区政府提出申请，经批准同意后，由区防汛抗旱指挥部办公室向代储单位下达调令。</w:t>
      </w:r>
    </w:p>
    <w:p w14:paraId="6CA014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（2）当储备物资消耗过多，不能满足抗旱需要时，应及时联系有资质的厂家紧急调运、生产所需物资，必要时可通过媒体向社会公开征集。</w:t>
      </w:r>
    </w:p>
    <w:p w14:paraId="54453BA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8" w:name="_Toc15708"/>
      <w:r>
        <w:rPr>
          <w:rFonts w:ascii="楷体" w:hAnsi="楷体" w:eastAsia="楷体" w:cs="楷体"/>
          <w:b w:val="0"/>
          <w:bCs w:val="0"/>
          <w:color w:val="auto"/>
          <w:spacing w:val="0"/>
          <w:position w:val="0"/>
          <w:sz w:val="32"/>
          <w:szCs w:val="32"/>
          <w:lang w:eastAsia="zh-CN"/>
        </w:rPr>
        <w:t>（五）应急备用水源准备</w:t>
      </w:r>
      <w:bookmarkEnd w:id="38"/>
    </w:p>
    <w:p w14:paraId="7F0E98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水务局应根据实际情况，在重点地区、重点部位落实抗旱应急备用水源，建立应急供水保障机制。水源有限时，应遵循先生活后生产的用水原则，首先解决人民群众生活用水。</w:t>
      </w:r>
    </w:p>
    <w:p w14:paraId="6E0E01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39" w:name="_Toc16323"/>
      <w:r>
        <w:rPr>
          <w:rFonts w:ascii="楷体" w:hAnsi="楷体" w:eastAsia="楷体" w:cs="楷体"/>
          <w:b w:val="0"/>
          <w:bCs w:val="0"/>
          <w:color w:val="auto"/>
          <w:spacing w:val="0"/>
          <w:position w:val="0"/>
          <w:sz w:val="32"/>
          <w:szCs w:val="32"/>
          <w:lang w:eastAsia="zh-CN"/>
        </w:rPr>
        <w:t>（六）技术保障</w:t>
      </w:r>
      <w:bookmarkEnd w:id="39"/>
    </w:p>
    <w:p w14:paraId="2A4F50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1.建设区抗旱指挥系统，形成覆盖全区防汛抗旱领导机构的手机微信群，提高信息传输的质量和速度。</w:t>
      </w:r>
    </w:p>
    <w:p w14:paraId="3FE11F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2.利用区防汛抗旱指挥部与省、市防汛抗旱指挥部之间的异地应急会议系统进行抗旱会商。</w:t>
      </w:r>
    </w:p>
    <w:p w14:paraId="3A88AF1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3.建立抗旱信息管理系统，实现各级抗旱救灾信息的共享。</w:t>
      </w:r>
    </w:p>
    <w:p w14:paraId="28B232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position w:val="0"/>
          <w:sz w:val="32"/>
          <w:szCs w:val="32"/>
          <w:lang w:eastAsia="zh-CN"/>
        </w:rPr>
      </w:pPr>
      <w:bookmarkStart w:id="40" w:name="_Toc11098"/>
      <w:r>
        <w:rPr>
          <w:rFonts w:hint="eastAsia" w:ascii="黑体" w:hAnsi="黑体" w:eastAsia="黑体" w:cs="黑体"/>
          <w:color w:val="auto"/>
          <w:spacing w:val="0"/>
          <w:position w:val="0"/>
          <w:sz w:val="32"/>
          <w:szCs w:val="32"/>
          <w:lang w:eastAsia="zh-CN"/>
        </w:rPr>
        <w:t>九、附则</w:t>
      </w:r>
      <w:bookmarkEnd w:id="40"/>
    </w:p>
    <w:p w14:paraId="575A024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1" w:name="_Toc11747"/>
      <w:r>
        <w:rPr>
          <w:rFonts w:ascii="楷体" w:hAnsi="楷体" w:eastAsia="楷体" w:cs="楷体"/>
          <w:b w:val="0"/>
          <w:bCs w:val="0"/>
          <w:color w:val="auto"/>
          <w:spacing w:val="0"/>
          <w:position w:val="0"/>
          <w:sz w:val="32"/>
          <w:szCs w:val="32"/>
          <w:lang w:eastAsia="zh-CN"/>
        </w:rPr>
        <w:t>（一）预案编制、审查与审批</w:t>
      </w:r>
      <w:bookmarkEnd w:id="41"/>
    </w:p>
    <w:p w14:paraId="331526E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本抗旱预案由区防汛抗旱指挥部组织编制，报区政府批准，必要时经区政府常务会议或专题会议审议，以区政府办名义下发执行。</w:t>
      </w:r>
    </w:p>
    <w:p w14:paraId="4D81EA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2" w:name="_Toc15696"/>
      <w:r>
        <w:rPr>
          <w:rFonts w:ascii="楷体" w:hAnsi="楷体" w:eastAsia="楷体" w:cs="楷体"/>
          <w:b w:val="0"/>
          <w:bCs w:val="0"/>
          <w:color w:val="auto"/>
          <w:spacing w:val="0"/>
          <w:position w:val="0"/>
          <w:sz w:val="32"/>
          <w:szCs w:val="32"/>
          <w:lang w:eastAsia="zh-CN"/>
        </w:rPr>
        <w:t>（二）宣传、培训与演习</w:t>
      </w:r>
      <w:bookmarkEnd w:id="42"/>
    </w:p>
    <w:p w14:paraId="0C05330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1.公众信息交流</w:t>
      </w:r>
    </w:p>
    <w:p w14:paraId="3E847F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（1）对抗旱节水知识进行宣传和普及。</w:t>
      </w:r>
    </w:p>
    <w:p w14:paraId="7C23A0C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（2）旱情、灾情及抗旱工作等方面的公众信息，由区防汛抗旱指挥部办公室、总指挥批准后，通过媒体向社会发布。</w:t>
      </w:r>
    </w:p>
    <w:p w14:paraId="7DDD1A8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2"/>
        <w:rPr>
          <w:rFonts w:hint="eastAsia" w:ascii="仿宋" w:hAnsi="仿宋" w:eastAsia="仿宋" w:cs="仿宋"/>
          <w:b/>
          <w:bCs/>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2.培训及演练</w:t>
      </w:r>
    </w:p>
    <w:p w14:paraId="264FE4F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（1）采取分级负责的原则，由各级防汛抗旱指挥部统一组织培训。</w:t>
      </w:r>
    </w:p>
    <w:p w14:paraId="6210BB6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（2）培训工作应做到合理规范课程、考核严格、分类指导，保证培训工作质量。</w:t>
      </w:r>
    </w:p>
    <w:p w14:paraId="36F2B4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（3）培训工作应结合实际，采取多种组织形式。</w:t>
      </w:r>
    </w:p>
    <w:p w14:paraId="1811569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（4）区防汛抗旱指挥部至少每三年组织一次不同类型的应急演练，以检验、改善和强化应急准备和应急响应能力。</w:t>
      </w:r>
    </w:p>
    <w:p w14:paraId="6C3352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3" w:name="_Toc21789"/>
      <w:r>
        <w:rPr>
          <w:rFonts w:ascii="楷体" w:hAnsi="楷体" w:eastAsia="楷体" w:cs="楷体"/>
          <w:b w:val="0"/>
          <w:bCs w:val="0"/>
          <w:color w:val="auto"/>
          <w:spacing w:val="0"/>
          <w:position w:val="0"/>
          <w:sz w:val="32"/>
          <w:szCs w:val="32"/>
          <w:lang w:eastAsia="zh-CN"/>
        </w:rPr>
        <w:t>（三）预案修订</w:t>
      </w:r>
      <w:bookmarkEnd w:id="43"/>
    </w:p>
    <w:p w14:paraId="07FEE61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本案由区防汛抗旱指挥部负责组织评估。原则上每5年对本预案评审一次，并按规定进行修订。</w:t>
      </w:r>
    </w:p>
    <w:p w14:paraId="58CDD94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本预案有下列情形之一的，应当及时修订：</w:t>
      </w:r>
    </w:p>
    <w:p w14:paraId="6C160363">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1.有关法律、行政法规、规章、标准、上位预案中的有关规定发生变化的。</w:t>
      </w:r>
    </w:p>
    <w:p w14:paraId="238CD17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2.应急指挥机构及其职责发生重大调整的。</w:t>
      </w:r>
    </w:p>
    <w:p w14:paraId="6C4BCC3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3.面临的风险发生重大变化的。</w:t>
      </w:r>
    </w:p>
    <w:p w14:paraId="32E656F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4.重要应急资源发生重大变化的。</w:t>
      </w:r>
    </w:p>
    <w:p w14:paraId="49A2F44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5.预案中的其他重要信息发生变化的。</w:t>
      </w:r>
    </w:p>
    <w:p w14:paraId="0B83457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6.在突发事件实际应对和应急演练中发现问题需要做出重大调整的。</w:t>
      </w:r>
    </w:p>
    <w:p w14:paraId="350E7BE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7.应急预案制定单位认为应当修订的其他情况。</w:t>
      </w:r>
    </w:p>
    <w:p w14:paraId="0508AB35">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val="0"/>
          <w:bCs w:val="0"/>
          <w:color w:val="auto"/>
          <w:spacing w:val="0"/>
          <w:position w:val="0"/>
          <w:sz w:val="32"/>
          <w:szCs w:val="32"/>
          <w:lang w:eastAsia="zh-CN"/>
        </w:rPr>
      </w:pPr>
      <w:r>
        <w:rPr>
          <w:rFonts w:ascii="楷体" w:hAnsi="楷体" w:eastAsia="楷体" w:cs="楷体"/>
          <w:b w:val="0"/>
          <w:bCs w:val="0"/>
          <w:color w:val="auto"/>
          <w:spacing w:val="0"/>
          <w:position w:val="0"/>
          <w:sz w:val="32"/>
          <w:szCs w:val="32"/>
          <w:lang w:eastAsia="zh-CN"/>
        </w:rPr>
        <w:t>（四）奖励与责任追究</w:t>
      </w:r>
    </w:p>
    <w:p w14:paraId="389CB98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1.对抗旱工作作出突出贡献的集体和个人，</w:t>
      </w:r>
      <w:r>
        <w:rPr>
          <w:rFonts w:hint="eastAsia" w:ascii="仿宋" w:hAnsi="仿宋" w:eastAsia="仿宋" w:cs="仿宋"/>
          <w:color w:val="auto"/>
          <w:spacing w:val="0"/>
          <w:position w:val="0"/>
          <w:sz w:val="32"/>
          <w:szCs w:val="32"/>
          <w:lang w:val="en-US" w:eastAsia="zh-CN"/>
        </w:rPr>
        <w:t>可</w:t>
      </w:r>
      <w:r>
        <w:rPr>
          <w:rFonts w:hint="eastAsia" w:ascii="仿宋" w:hAnsi="仿宋" w:eastAsia="仿宋" w:cs="仿宋"/>
          <w:color w:val="auto"/>
          <w:spacing w:val="0"/>
          <w:position w:val="0"/>
          <w:sz w:val="32"/>
          <w:szCs w:val="32"/>
          <w:lang w:eastAsia="zh-CN"/>
        </w:rPr>
        <w:t>由区委、区政府表彰，并向市政府推荐表彰。</w:t>
      </w:r>
    </w:p>
    <w:p w14:paraId="6F86C03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2.对抗旱工作中英勇献身的人员，按有关规定给予申报，争取追认为烈士。</w:t>
      </w:r>
    </w:p>
    <w:p w14:paraId="1F88089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3.对抗旱工作中玩忽职守造成损失的，依据《中华人民共和国公职人员政务处分法》等法律法规追究当事人的责任，构成犯罪的依法追究其刑事责任。</w:t>
      </w:r>
    </w:p>
    <w:p w14:paraId="40BD8AC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4" w:name="_Toc23016"/>
      <w:r>
        <w:rPr>
          <w:rFonts w:ascii="楷体" w:hAnsi="楷体" w:eastAsia="楷体" w:cs="楷体"/>
          <w:b w:val="0"/>
          <w:bCs w:val="0"/>
          <w:color w:val="auto"/>
          <w:spacing w:val="0"/>
          <w:position w:val="0"/>
          <w:sz w:val="32"/>
          <w:szCs w:val="32"/>
          <w:lang w:eastAsia="zh-CN"/>
        </w:rPr>
        <w:t>（五）预案实施时间</w:t>
      </w:r>
      <w:bookmarkEnd w:id="44"/>
    </w:p>
    <w:p w14:paraId="4280CD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lang w:eastAsia="zh-CN"/>
        </w:rPr>
        <w:t>本预案自印发之日起实施。</w:t>
      </w:r>
    </w:p>
    <w:p w14:paraId="62475BB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position w:val="0"/>
          <w:sz w:val="32"/>
          <w:szCs w:val="32"/>
          <w:lang w:eastAsia="zh-CN"/>
        </w:rPr>
      </w:pPr>
      <w:bookmarkStart w:id="45" w:name="_Toc19362"/>
      <w:r>
        <w:rPr>
          <w:rFonts w:ascii="楷体" w:hAnsi="楷体" w:eastAsia="楷体" w:cs="楷体"/>
          <w:b w:val="0"/>
          <w:bCs w:val="0"/>
          <w:color w:val="auto"/>
          <w:spacing w:val="0"/>
          <w:position w:val="0"/>
          <w:sz w:val="32"/>
          <w:szCs w:val="32"/>
          <w:lang w:eastAsia="zh-CN"/>
        </w:rPr>
        <w:t>（六）名词术语解释（定义）</w:t>
      </w:r>
      <w:bookmarkEnd w:id="45"/>
    </w:p>
    <w:p w14:paraId="669750B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1.抗旱应急预案：</w:t>
      </w:r>
      <w:r>
        <w:rPr>
          <w:rFonts w:hint="eastAsia" w:ascii="仿宋" w:hAnsi="仿宋" w:eastAsia="仿宋" w:cs="仿宋"/>
          <w:color w:val="auto"/>
          <w:spacing w:val="0"/>
          <w:position w:val="0"/>
          <w:sz w:val="32"/>
          <w:szCs w:val="32"/>
          <w:lang w:eastAsia="zh-CN"/>
        </w:rPr>
        <w:t>是在现有工程设施条件和抗旱能力条件下，针对不同等级、程度的干旱灾害，预先制定的对策和措施，是各级防汛抗旱指挥部实施指挥决策的依据。</w:t>
      </w:r>
    </w:p>
    <w:p w14:paraId="55FFEA9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position w:val="0"/>
          <w:sz w:val="32"/>
          <w:szCs w:val="32"/>
          <w:lang w:eastAsia="zh-CN"/>
        </w:rPr>
      </w:pPr>
      <w:r>
        <w:rPr>
          <w:rFonts w:hint="eastAsia" w:ascii="仿宋" w:hAnsi="仿宋" w:eastAsia="仿宋" w:cs="仿宋"/>
          <w:b/>
          <w:bCs/>
          <w:color w:val="auto"/>
          <w:spacing w:val="0"/>
          <w:position w:val="0"/>
          <w:sz w:val="32"/>
          <w:szCs w:val="32"/>
          <w:lang w:eastAsia="zh-CN"/>
        </w:rPr>
        <w:t>2.抗旱服务组织：</w:t>
      </w:r>
      <w:r>
        <w:rPr>
          <w:rFonts w:hint="eastAsia" w:ascii="仿宋" w:hAnsi="仿宋" w:eastAsia="仿宋" w:cs="仿宋"/>
          <w:color w:val="auto"/>
          <w:spacing w:val="0"/>
          <w:position w:val="0"/>
          <w:sz w:val="32"/>
          <w:szCs w:val="32"/>
          <w:lang w:eastAsia="zh-CN"/>
        </w:rPr>
        <w:t>是由水务部门组建的事业性服务实体，以抗旱减灾为宗旨，围绕群众饮水安全、粮食用水安全、经济发展用水安全和生态环境用水安全开展抗旱服务工作。其业务工作受同级水行政主管部门领导和上级抗旱服务组织的指导。国家支持和鼓励社会力量兴办各种形式的抗旱社会化服务组织。</w:t>
      </w:r>
    </w:p>
    <w:p w14:paraId="20ECD297">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黑体" w:hAnsi="黑体" w:eastAsia="黑体" w:cs="黑体"/>
          <w:color w:val="auto"/>
          <w:spacing w:val="0"/>
          <w:sz w:val="32"/>
          <w:szCs w:val="32"/>
          <w:lang w:eastAsia="zh-CN"/>
        </w:rPr>
      </w:pPr>
      <w:r>
        <w:rPr>
          <w:rFonts w:hint="eastAsia" w:ascii="仿宋" w:hAnsi="仿宋" w:eastAsia="仿宋" w:cs="仿宋"/>
          <w:b/>
          <w:bCs/>
          <w:color w:val="auto"/>
          <w:spacing w:val="0"/>
          <w:position w:val="0"/>
          <w:sz w:val="32"/>
          <w:szCs w:val="32"/>
          <w:lang w:eastAsia="zh-CN"/>
        </w:rPr>
        <w:t>3.紧急抗旱期：</w:t>
      </w:r>
      <w:r>
        <w:rPr>
          <w:rFonts w:hint="eastAsia" w:ascii="仿宋" w:hAnsi="仿宋" w:eastAsia="仿宋" w:cs="仿宋"/>
          <w:color w:val="auto"/>
          <w:spacing w:val="0"/>
          <w:position w:val="0"/>
          <w:sz w:val="32"/>
          <w:szCs w:val="32"/>
          <w:lang w:eastAsia="zh-CN"/>
        </w:rPr>
        <w:t>发生特别严重干旱灾害，严重危及城乡居民生活、生产用水安全，可能影响社会稳定的，旱区防汛抗旱指挥部经本级人民政府批准，可以宣布本辖区内的相关行政区域进入紧急抗旱期，并及时报告上级防汛抗旱指挥部。</w:t>
      </w:r>
      <w:bookmarkStart w:id="46" w:name="_Toc6564"/>
      <w:bookmarkStart w:id="47" w:name="_Toc24583"/>
    </w:p>
    <w:p w14:paraId="23CE9A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48" w:name="_Toc2067"/>
      <w:r>
        <w:rPr>
          <w:rFonts w:hint="eastAsia" w:ascii="黑体" w:hAnsi="黑体" w:eastAsia="黑体" w:cs="黑体"/>
          <w:color w:val="auto"/>
          <w:spacing w:val="0"/>
          <w:position w:val="0"/>
          <w:sz w:val="32"/>
          <w:szCs w:val="32"/>
          <w:lang w:eastAsia="zh-CN"/>
        </w:rPr>
        <w:t>十、附件</w:t>
      </w:r>
      <w:bookmarkEnd w:id="46"/>
      <w:bookmarkEnd w:id="47"/>
      <w:bookmarkEnd w:id="48"/>
    </w:p>
    <w:p w14:paraId="3826F0EB">
      <w:pPr>
        <w:pStyle w:val="15"/>
        <w:keepNext w:val="0"/>
        <w:keepLines w:val="0"/>
        <w:pageBreakBefore w:val="0"/>
        <w:widowControl/>
        <w:kinsoku w:val="0"/>
        <w:wordWrap/>
        <w:overflowPunct/>
        <w:topLinePunct w:val="0"/>
        <w:autoSpaceDE w:val="0"/>
        <w:autoSpaceDN w:val="0"/>
        <w:bidi w:val="0"/>
        <w:adjustRightInd w:val="0"/>
        <w:snapToGrid w:val="0"/>
        <w:spacing w:before="0" w:line="560" w:lineRule="exact"/>
        <w:textAlignment w:val="baseline"/>
        <w:rPr>
          <w:rFonts w:hint="eastAsia" w:ascii="仿宋" w:hAnsi="仿宋" w:eastAsia="仿宋" w:cs="仿宋"/>
          <w:b w:val="0"/>
          <w:bCs w:val="0"/>
          <w:color w:val="auto"/>
          <w:spacing w:val="0"/>
          <w:sz w:val="32"/>
          <w:szCs w:val="32"/>
          <w:lang w:val="zh-CN" w:eastAsia="zh-CN" w:bidi="zh-CN"/>
        </w:rPr>
      </w:pPr>
      <w:bookmarkStart w:id="49" w:name="_Toc12449"/>
      <w:r>
        <w:rPr>
          <w:rFonts w:hint="eastAsia" w:ascii="仿宋" w:hAnsi="仿宋" w:eastAsia="仿宋" w:cs="仿宋"/>
          <w:b w:val="0"/>
          <w:bCs w:val="0"/>
          <w:color w:val="auto"/>
          <w:spacing w:val="0"/>
          <w:sz w:val="32"/>
          <w:szCs w:val="32"/>
          <w:lang w:eastAsia="zh-CN"/>
        </w:rPr>
        <w:t>附件：</w:t>
      </w:r>
      <w:bookmarkEnd w:id="49"/>
      <w:r>
        <w:rPr>
          <w:rFonts w:hint="eastAsia" w:ascii="仿宋" w:hAnsi="仿宋" w:eastAsia="仿宋" w:cs="仿宋"/>
          <w:b w:val="0"/>
          <w:bCs w:val="0"/>
          <w:color w:val="auto"/>
          <w:spacing w:val="0"/>
          <w:sz w:val="32"/>
          <w:szCs w:val="32"/>
          <w:lang w:val="zh-CN" w:eastAsia="zh-CN" w:bidi="zh-CN"/>
        </w:rPr>
        <w:t>风险分级管控及评价方法</w:t>
      </w:r>
      <w:bookmarkStart w:id="50" w:name="_Toc15518"/>
    </w:p>
    <w:bookmarkEnd w:id="50"/>
    <w:p w14:paraId="12F0B80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仿宋" w:hAnsi="仿宋" w:eastAsia="仿宋" w:cs="仿宋"/>
          <w:color w:val="auto"/>
          <w:spacing w:val="0"/>
          <w:position w:val="0"/>
          <w:sz w:val="32"/>
          <w:szCs w:val="32"/>
          <w:lang w:val="en-US" w:eastAsia="zh-CN"/>
        </w:rPr>
        <w:sectPr>
          <w:footerReference r:id="rId5" w:type="default"/>
          <w:pgSz w:w="11906" w:h="16839"/>
          <w:pgMar w:top="1431" w:right="1487" w:bottom="1355" w:left="1597" w:header="0" w:footer="1119" w:gutter="0"/>
          <w:pgNumType w:fmt="decimal" w:start="1"/>
          <w:cols w:space="720" w:num="1"/>
        </w:sectPr>
      </w:pPr>
    </w:p>
    <w:p w14:paraId="387635F2">
      <w:pPr>
        <w:pStyle w:val="6"/>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bookmarkStart w:id="51" w:name="_Toc10265"/>
      <w:r>
        <w:rPr>
          <w:rFonts w:hint="eastAsia" w:ascii="黑体" w:hAnsi="黑体" w:eastAsia="黑体" w:cs="黑体"/>
          <w:color w:val="auto"/>
          <w:spacing w:val="0"/>
          <w:sz w:val="32"/>
          <w:szCs w:val="32"/>
          <w:lang w:val="en-US" w:eastAsia="zh-CN"/>
        </w:rPr>
        <w:t>附件</w:t>
      </w:r>
      <w:bookmarkEnd w:id="51"/>
    </w:p>
    <w:p w14:paraId="0B8F3211">
      <w:pPr>
        <w:pStyle w:val="6"/>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p>
    <w:p w14:paraId="1D706F48">
      <w:pPr>
        <w:pStyle w:val="6"/>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bookmarkStart w:id="52" w:name="_Toc23571"/>
      <w:bookmarkStart w:id="53" w:name="_Toc26984"/>
      <w:r>
        <w:rPr>
          <w:rFonts w:hint="eastAsia" w:ascii="方正小标宋简体" w:hAnsi="方正小标宋简体" w:eastAsia="方正小标宋简体" w:cs="方正小标宋简体"/>
          <w:b w:val="0"/>
          <w:bCs w:val="0"/>
          <w:snapToGrid w:val="0"/>
          <w:color w:val="auto"/>
          <w:spacing w:val="0"/>
          <w:sz w:val="44"/>
          <w:szCs w:val="44"/>
          <w:lang w:val="en-US" w:eastAsia="zh-CN" w:bidi="ar-SA"/>
        </w:rPr>
        <w:t>风险分级管控及评价方法</w:t>
      </w:r>
      <w:bookmarkEnd w:id="52"/>
      <w:bookmarkEnd w:id="53"/>
    </w:p>
    <w:p w14:paraId="7C6B9AAF">
      <w:pPr>
        <w:pStyle w:val="6"/>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p>
    <w:p w14:paraId="42E9C07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LS法安全风险评价判定准则</w:t>
      </w:r>
    </w:p>
    <w:p w14:paraId="5FE27D5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1.风险矩阵法的主要内容是：</w:t>
      </w:r>
      <w:r>
        <w:rPr>
          <w:rFonts w:hint="eastAsia" w:ascii="仿宋" w:hAnsi="仿宋" w:eastAsia="仿宋" w:cs="仿宋"/>
          <w:color w:val="auto"/>
          <w:sz w:val="32"/>
          <w:szCs w:val="32"/>
        </w:rPr>
        <w:t>识别出存在的风险，分析和评价风险事件发生的可能性和后果，二者相乘，得出风险的风险值，确定风险级别，进而决定应当采取的风险控制措施。</w:t>
      </w:r>
    </w:p>
    <w:p w14:paraId="44A249B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数学表达式为：R=L×S，其中，</w:t>
      </w:r>
    </w:p>
    <w:p w14:paraId="412CDE51">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R代表风险值；</w:t>
      </w:r>
    </w:p>
    <w:p w14:paraId="304C1F0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L代表风险事件发生可能性；</w:t>
      </w:r>
    </w:p>
    <w:p w14:paraId="50FB661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S代表风险事件后果严重程度。</w:t>
      </w:r>
    </w:p>
    <w:p w14:paraId="52D439C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2.风险事件发生可能性（L）取值</w:t>
      </w:r>
    </w:p>
    <w:p w14:paraId="1664ECB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4778EA6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事件发生的可能性（L）用事件发生的概率表示，取值如下表所示：</w:t>
      </w:r>
    </w:p>
    <w:p w14:paraId="6FE8F86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p>
    <w:p w14:paraId="0892366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风险事件发生可能性（L）参考取值表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64"/>
        <w:gridCol w:w="1034"/>
        <w:gridCol w:w="1553"/>
        <w:gridCol w:w="1648"/>
        <w:gridCol w:w="2427"/>
        <w:gridCol w:w="1396"/>
      </w:tblGrid>
      <w:tr w14:paraId="78A6B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27324F51">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L</w:t>
            </w:r>
          </w:p>
        </w:tc>
        <w:tc>
          <w:tcPr>
            <w:tcW w:w="1034" w:type="dxa"/>
            <w:shd w:val="clear" w:color="auto" w:fill="auto"/>
            <w:vAlign w:val="center"/>
          </w:tcPr>
          <w:p w14:paraId="59C55FE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参考频率</w:t>
            </w:r>
          </w:p>
        </w:tc>
        <w:tc>
          <w:tcPr>
            <w:tcW w:w="1553" w:type="dxa"/>
            <w:shd w:val="clear" w:color="auto" w:fill="auto"/>
            <w:vAlign w:val="center"/>
          </w:tcPr>
          <w:p w14:paraId="0B09289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人员情况</w:t>
            </w:r>
          </w:p>
        </w:tc>
        <w:tc>
          <w:tcPr>
            <w:tcW w:w="1648" w:type="dxa"/>
            <w:shd w:val="clear" w:color="auto" w:fill="auto"/>
            <w:vAlign w:val="center"/>
          </w:tcPr>
          <w:p w14:paraId="33853D03">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设备设施、工器具及材料</w:t>
            </w:r>
          </w:p>
        </w:tc>
        <w:tc>
          <w:tcPr>
            <w:shd w:val="clear" w:color="auto" w:fill="auto"/>
            <w:vAlign w:val="center"/>
          </w:tcPr>
          <w:p w14:paraId="6389B65C">
            <w:pPr>
              <w:pStyle w:val="16"/>
              <w:jc w:val="center"/>
              <w:rPr>
                <w:rFonts w:hint="eastAsia" w:ascii="仿宋" w:hAnsi="仿宋" w:eastAsia="仿宋" w:cs="仿宋"/>
                <w:color w:val="auto"/>
                <w:sz w:val="32"/>
                <w:szCs w:val="32"/>
              </w:rPr>
            </w:pPr>
            <w:r>
              <w:rPr>
                <w:rFonts w:hint="eastAsia" w:ascii="仿宋" w:hAnsi="仿宋" w:eastAsia="仿宋" w:cs="仿宋"/>
                <w:color w:val="auto"/>
                <w:sz w:val="32"/>
                <w:szCs w:val="32"/>
              </w:rPr>
              <w:t>环境</w:t>
            </w:r>
          </w:p>
          <w:p w14:paraId="06BE2EA5">
            <w:pPr>
              <w:pStyle w:val="16"/>
              <w:jc w:val="center"/>
              <w:rPr>
                <w:rFonts w:hint="eastAsia" w:ascii="仿宋" w:hAnsi="仿宋" w:eastAsia="仿宋" w:cs="仿宋"/>
                <w:color w:val="auto"/>
                <w:sz w:val="32"/>
                <w:szCs w:val="32"/>
              </w:rPr>
            </w:pPr>
            <w:r>
              <w:rPr>
                <w:rFonts w:hint="eastAsia" w:ascii="仿宋" w:hAnsi="仿宋" w:eastAsia="仿宋" w:cs="仿宋"/>
                <w:color w:val="auto"/>
                <w:sz w:val="32"/>
                <w:szCs w:val="32"/>
              </w:rPr>
              <w:t>状况</w:t>
            </w:r>
          </w:p>
        </w:tc>
        <w:tc>
          <w:tcPr>
            <w:shd w:val="clear" w:color="auto" w:fill="auto"/>
            <w:vAlign w:val="center"/>
          </w:tcPr>
          <w:p w14:paraId="763535F9">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规程和针对性管理方案</w:t>
            </w:r>
          </w:p>
        </w:tc>
      </w:tr>
      <w:tr w14:paraId="6A984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62CE34B9">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tcW w:w="1034" w:type="dxa"/>
            <w:shd w:val="clear" w:color="auto" w:fill="auto"/>
            <w:textDirection w:val="tbLrV"/>
            <w:vAlign w:val="center"/>
          </w:tcPr>
          <w:p w14:paraId="4A2F2A2B">
            <w:pPr>
              <w:pStyle w:val="16"/>
              <w:ind w:left="108" w:leftChars="0" w:right="113"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本企业一年内发生过</w:t>
            </w:r>
          </w:p>
        </w:tc>
        <w:tc>
          <w:tcPr>
            <w:tcW w:w="1553" w:type="dxa"/>
            <w:shd w:val="clear" w:color="auto" w:fill="auto"/>
            <w:vAlign w:val="center"/>
          </w:tcPr>
          <w:p w14:paraId="2B84B500">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无培训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无经验</w:t>
            </w:r>
          </w:p>
        </w:tc>
        <w:tc>
          <w:tcPr>
            <w:tcW w:w="1648" w:type="dxa"/>
            <w:shd w:val="clear" w:color="auto" w:fill="auto"/>
            <w:vAlign w:val="center"/>
          </w:tcPr>
          <w:p w14:paraId="31E7EC25">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超期运行或超检验期</w:t>
            </w:r>
          </w:p>
        </w:tc>
        <w:tc>
          <w:tcPr>
            <w:shd w:val="clear" w:color="auto" w:fill="auto"/>
            <w:vAlign w:val="center"/>
          </w:tcPr>
          <w:p w14:paraId="30C3C522">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危险化学品生产贮存区域；存在或可能产生危害气体</w:t>
            </w:r>
          </w:p>
        </w:tc>
        <w:tc>
          <w:tcPr>
            <w:shd w:val="clear" w:color="auto" w:fill="auto"/>
            <w:vAlign w:val="center"/>
          </w:tcPr>
          <w:p w14:paraId="575CEABE">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没有</w:t>
            </w:r>
          </w:p>
        </w:tc>
      </w:tr>
      <w:tr w14:paraId="60D2B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5EF790B6">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tcW w:w="1034" w:type="dxa"/>
            <w:shd w:val="clear" w:color="auto" w:fill="auto"/>
            <w:textDirection w:val="tbLrV"/>
            <w:vAlign w:val="center"/>
          </w:tcPr>
          <w:p w14:paraId="77C786BB">
            <w:pPr>
              <w:pStyle w:val="16"/>
              <w:ind w:left="108" w:leftChars="0" w:right="113"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本集团一年内发生过</w:t>
            </w:r>
          </w:p>
        </w:tc>
        <w:tc>
          <w:tcPr>
            <w:tcW w:w="1553" w:type="dxa"/>
            <w:shd w:val="clear" w:color="auto" w:fill="auto"/>
            <w:vAlign w:val="center"/>
          </w:tcPr>
          <w:p w14:paraId="71F995B4">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有培训但培训时间不够或未达成效果</w:t>
            </w:r>
          </w:p>
        </w:tc>
        <w:tc>
          <w:tcPr>
            <w:tcW w:w="1648" w:type="dxa"/>
            <w:shd w:val="clear" w:color="auto" w:fill="auto"/>
            <w:vAlign w:val="center"/>
          </w:tcPr>
          <w:p w14:paraId="5D21F18B">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保护自动装置功能</w:t>
            </w:r>
            <w:r>
              <w:rPr>
                <w:rFonts w:hint="eastAsia" w:ascii="仿宋" w:hAnsi="仿宋" w:eastAsia="仿宋" w:cs="仿宋"/>
                <w:color w:val="auto"/>
                <w:sz w:val="32"/>
                <w:szCs w:val="32"/>
                <w:lang w:eastAsia="zh-CN"/>
              </w:rPr>
              <w:t>不</w:t>
            </w:r>
            <w:r>
              <w:rPr>
                <w:rFonts w:hint="eastAsia" w:ascii="仿宋" w:hAnsi="仿宋" w:eastAsia="仿宋" w:cs="仿宋"/>
                <w:color w:val="auto"/>
                <w:sz w:val="32"/>
                <w:szCs w:val="32"/>
              </w:rPr>
              <w:t>完善，存在质量缺陷</w:t>
            </w:r>
          </w:p>
        </w:tc>
        <w:tc>
          <w:tcPr>
            <w:shd w:val="clear" w:color="auto" w:fill="auto"/>
            <w:vAlign w:val="center"/>
          </w:tcPr>
          <w:p w14:paraId="0589C1F1">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作业空间受限；作业立体交叉；恶劣气象条件；高空或在运行</w:t>
            </w:r>
            <w:r>
              <w:rPr>
                <w:rFonts w:hint="eastAsia" w:ascii="仿宋" w:hAnsi="仿宋" w:eastAsia="仿宋" w:cs="仿宋"/>
                <w:color w:val="auto"/>
                <w:sz w:val="32"/>
                <w:szCs w:val="32"/>
                <w:lang w:eastAsia="zh-CN"/>
              </w:rPr>
              <w:t>设</w:t>
            </w:r>
            <w:r>
              <w:rPr>
                <w:rFonts w:hint="eastAsia" w:ascii="仿宋" w:hAnsi="仿宋" w:eastAsia="仿宋" w:cs="仿宋"/>
                <w:color w:val="auto"/>
                <w:sz w:val="32"/>
                <w:szCs w:val="32"/>
              </w:rPr>
              <w:t>备设施上作业</w:t>
            </w:r>
          </w:p>
        </w:tc>
        <w:tc>
          <w:tcPr>
            <w:shd w:val="clear" w:color="auto" w:fill="auto"/>
            <w:vAlign w:val="center"/>
          </w:tcPr>
          <w:p w14:paraId="2F38589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有，但不完善，且只偶尔执行</w:t>
            </w:r>
          </w:p>
        </w:tc>
      </w:tr>
      <w:tr w14:paraId="31168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49BB6D59">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1034" w:type="dxa"/>
            <w:shd w:val="clear" w:color="auto" w:fill="auto"/>
            <w:textDirection w:val="tbLrV"/>
            <w:vAlign w:val="center"/>
          </w:tcPr>
          <w:p w14:paraId="3C631F78">
            <w:pPr>
              <w:pStyle w:val="16"/>
              <w:ind w:left="108" w:leftChars="0" w:right="113"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本行业一年内发生过</w:t>
            </w:r>
          </w:p>
        </w:tc>
        <w:tc>
          <w:tcPr>
            <w:tcW w:w="1553" w:type="dxa"/>
            <w:shd w:val="clear" w:color="auto" w:fill="auto"/>
            <w:vAlign w:val="center"/>
          </w:tcPr>
          <w:p w14:paraId="71EAC7D3">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经验不足，多次出现差错</w:t>
            </w:r>
          </w:p>
        </w:tc>
        <w:tc>
          <w:tcPr>
            <w:tcW w:w="1648" w:type="dxa"/>
            <w:shd w:val="clear" w:color="auto" w:fill="auto"/>
            <w:vAlign w:val="center"/>
          </w:tcPr>
          <w:p w14:paraId="064A63A3">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基本完好，但安全装置不完善</w:t>
            </w:r>
          </w:p>
        </w:tc>
        <w:tc>
          <w:tcPr>
            <w:shd w:val="clear" w:color="auto" w:fill="auto"/>
            <w:vAlign w:val="center"/>
          </w:tcPr>
          <w:p w14:paraId="39B4BF71">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通风、光照或温度需要采取措施才能作业；周围有运行设备；立面有同时作业</w:t>
            </w:r>
          </w:p>
        </w:tc>
        <w:tc>
          <w:tcPr>
            <w:shd w:val="clear" w:color="auto" w:fill="auto"/>
            <w:vAlign w:val="center"/>
          </w:tcPr>
          <w:p w14:paraId="21AD01B8">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有，较完善，但只部分执行</w:t>
            </w:r>
          </w:p>
        </w:tc>
      </w:tr>
      <w:tr w14:paraId="7468B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64695358">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1034" w:type="dxa"/>
            <w:shd w:val="clear" w:color="auto" w:fill="auto"/>
            <w:textDirection w:val="tbLrV"/>
            <w:vAlign w:val="center"/>
          </w:tcPr>
          <w:p w14:paraId="5C64DE54">
            <w:pPr>
              <w:pStyle w:val="16"/>
              <w:ind w:left="108" w:leftChars="0" w:right="113"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全国范围一年内发生过</w:t>
            </w:r>
          </w:p>
        </w:tc>
        <w:tc>
          <w:tcPr>
            <w:tcW w:w="1553" w:type="dxa"/>
            <w:shd w:val="clear" w:color="auto" w:fill="auto"/>
            <w:vAlign w:val="center"/>
          </w:tcPr>
          <w:p w14:paraId="3724CD8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偶尔出现差错</w:t>
            </w:r>
          </w:p>
        </w:tc>
        <w:tc>
          <w:tcPr>
            <w:tcW w:w="1648" w:type="dxa"/>
            <w:shd w:val="clear" w:color="auto" w:fill="auto"/>
            <w:vAlign w:val="center"/>
          </w:tcPr>
          <w:p w14:paraId="401AC02E">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总体完好，但有缺陷</w:t>
            </w:r>
          </w:p>
        </w:tc>
        <w:tc>
          <w:tcPr>
            <w:shd w:val="clear" w:color="auto" w:fill="auto"/>
            <w:vAlign w:val="center"/>
          </w:tcPr>
          <w:p w14:paraId="469B600B">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通风、光照或温度不影响作业；系统停运；同一作业面有其它作业</w:t>
            </w:r>
          </w:p>
        </w:tc>
        <w:tc>
          <w:tcPr>
            <w:shd w:val="clear" w:color="auto" w:fill="auto"/>
            <w:vAlign w:val="center"/>
          </w:tcPr>
          <w:p w14:paraId="5F637ABA">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有，完善，但偶尔不执行</w:t>
            </w:r>
          </w:p>
        </w:tc>
      </w:tr>
      <w:tr w14:paraId="14271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3D98FB76">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1034" w:type="dxa"/>
            <w:shd w:val="clear" w:color="auto" w:fill="auto"/>
            <w:textDirection w:val="tbLrV"/>
            <w:vAlign w:val="center"/>
          </w:tcPr>
          <w:p w14:paraId="5AE78E16">
            <w:pPr>
              <w:pStyle w:val="16"/>
              <w:ind w:left="108" w:leftChars="0" w:right="113" w:firstLine="0" w:firstLineChars="0"/>
              <w:jc w:val="both"/>
              <w:rPr>
                <w:rFonts w:hint="eastAsia" w:ascii="仿宋" w:hAnsi="仿宋" w:eastAsia="仿宋" w:cs="仿宋"/>
                <w:color w:val="auto"/>
                <w:sz w:val="32"/>
                <w:szCs w:val="32"/>
              </w:rPr>
            </w:pPr>
            <w:r>
              <w:rPr>
                <w:rFonts w:hint="eastAsia" w:ascii="仿宋" w:hAnsi="仿宋" w:eastAsia="仿宋" w:cs="仿宋"/>
                <w:color w:val="auto"/>
                <w:sz w:val="32"/>
                <w:szCs w:val="32"/>
              </w:rPr>
              <w:t>从未发生过</w:t>
            </w:r>
          </w:p>
        </w:tc>
        <w:tc>
          <w:tcPr>
            <w:tcW w:w="1553" w:type="dxa"/>
            <w:shd w:val="clear" w:color="auto" w:fill="auto"/>
            <w:vAlign w:val="center"/>
          </w:tcPr>
          <w:p w14:paraId="64B3C18D">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培训充分，经验丰富，安全意识强</w:t>
            </w:r>
          </w:p>
        </w:tc>
        <w:tc>
          <w:tcPr>
            <w:tcW w:w="1648" w:type="dxa"/>
            <w:shd w:val="clear" w:color="auto" w:fill="auto"/>
            <w:vAlign w:val="center"/>
          </w:tcPr>
          <w:p w14:paraId="751ED906">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完好，无缺陷</w:t>
            </w:r>
          </w:p>
        </w:tc>
        <w:tc>
          <w:tcPr>
            <w:shd w:val="clear" w:color="auto" w:fill="auto"/>
            <w:vAlign w:val="center"/>
          </w:tcPr>
          <w:p w14:paraId="79481AD2">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通风、光照良好，温度适宜；系统停运且周围无运行设备</w:t>
            </w:r>
          </w:p>
        </w:tc>
        <w:tc>
          <w:tcPr>
            <w:shd w:val="clear" w:color="auto" w:fill="auto"/>
            <w:vAlign w:val="center"/>
          </w:tcPr>
          <w:p w14:paraId="010CF353">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有，完善，严格执行</w:t>
            </w:r>
          </w:p>
        </w:tc>
      </w:tr>
    </w:tbl>
    <w:p w14:paraId="10EF5E2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注：当缺少基础资料或者无法取得充分可靠的数据或者分析数据不具有成本效益性时，取值可参照类似性质、规模企业的业内平均水平。</w:t>
      </w:r>
    </w:p>
    <w:p w14:paraId="08F81CB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3.风险事件后果严重程度（S）取值</w:t>
      </w:r>
    </w:p>
    <w:p w14:paraId="365DB5E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从人员伤亡、经济损失二个维度对风险事件后果严重程度进行评价取值，以最大值作为最终S值，即满足若干条件之一时就取对应的S值，而无需满足所有条件。</w:t>
      </w:r>
    </w:p>
    <w:p w14:paraId="2E929AB3">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p>
    <w:p w14:paraId="032B551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风险事件后果严重程度（S）参考取值表</w:t>
      </w:r>
    </w:p>
    <w:tbl>
      <w:tblPr>
        <w:tblStyle w:val="17"/>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376"/>
        <w:gridCol w:w="3429"/>
        <w:gridCol w:w="4974"/>
      </w:tblGrid>
      <w:tr w14:paraId="1F50F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7B0D13B">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S</w:t>
            </w:r>
          </w:p>
        </w:tc>
        <w:tc>
          <w:tcPr>
            <w:shd w:val="clear" w:color="auto" w:fill="auto"/>
            <w:vAlign w:val="center"/>
          </w:tcPr>
          <w:p w14:paraId="7986BC21">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可能造成的人身伤害</w:t>
            </w:r>
          </w:p>
        </w:tc>
        <w:tc>
          <w:tcPr>
            <w:shd w:val="clear" w:color="auto" w:fill="auto"/>
            <w:vAlign w:val="center"/>
          </w:tcPr>
          <w:p w14:paraId="0E64EDD6">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可能造成的财产损失、设备设施损坏</w:t>
            </w:r>
          </w:p>
        </w:tc>
      </w:tr>
      <w:tr w14:paraId="625BE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1BD255A">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p>
        </w:tc>
        <w:tc>
          <w:tcPr>
            <w:shd w:val="clear" w:color="auto" w:fill="auto"/>
            <w:vAlign w:val="center"/>
          </w:tcPr>
          <w:p w14:paraId="0DC5BB2B">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3人及以上死亡或7人及以上重伤</w:t>
            </w:r>
          </w:p>
        </w:tc>
        <w:tc>
          <w:tcPr>
            <w:shd w:val="clear" w:color="auto" w:fill="auto"/>
            <w:vAlign w:val="center"/>
          </w:tcPr>
          <w:p w14:paraId="34A9CE1A">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直接经济损失在1000万元及以上</w:t>
            </w:r>
          </w:p>
        </w:tc>
      </w:tr>
      <w:tr w14:paraId="59CAE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58BF2D3A">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p>
        </w:tc>
        <w:tc>
          <w:tcPr>
            <w:shd w:val="clear" w:color="auto" w:fill="auto"/>
            <w:vAlign w:val="center"/>
          </w:tcPr>
          <w:p w14:paraId="535E9CE7">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1-2人死亡或3-6人重伤</w:t>
            </w:r>
          </w:p>
        </w:tc>
        <w:tc>
          <w:tcPr>
            <w:shd w:val="clear" w:color="auto" w:fill="auto"/>
            <w:vAlign w:val="center"/>
          </w:tcPr>
          <w:p w14:paraId="1737BDC3">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直接经济损失在100万元及以上，1000万元以下</w:t>
            </w:r>
          </w:p>
        </w:tc>
      </w:tr>
      <w:tr w14:paraId="2A065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1BC7440">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shd w:val="clear" w:color="auto" w:fill="auto"/>
            <w:vAlign w:val="center"/>
          </w:tcPr>
          <w:p w14:paraId="38714FB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造成1至2人重伤或3至6人轻伤</w:t>
            </w:r>
          </w:p>
        </w:tc>
        <w:tc>
          <w:tcPr>
            <w:shd w:val="clear" w:color="auto" w:fill="auto"/>
            <w:vAlign w:val="center"/>
          </w:tcPr>
          <w:p w14:paraId="7D846CFD">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直接经济损失在10万元及以上，100万元以下</w:t>
            </w:r>
          </w:p>
        </w:tc>
      </w:tr>
      <w:tr w14:paraId="2A568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032807A">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shd w:val="clear" w:color="auto" w:fill="auto"/>
            <w:vAlign w:val="center"/>
          </w:tcPr>
          <w:p w14:paraId="51B50F5D">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1至2人轻伤</w:t>
            </w:r>
          </w:p>
        </w:tc>
        <w:tc>
          <w:tcPr>
            <w:shd w:val="clear" w:color="auto" w:fill="auto"/>
            <w:vAlign w:val="center"/>
          </w:tcPr>
          <w:p w14:paraId="5024804F">
            <w:pPr>
              <w:pStyle w:val="16"/>
              <w:jc w:val="both"/>
              <w:rPr>
                <w:rFonts w:hint="eastAsia" w:ascii="仿宋" w:hAnsi="仿宋" w:eastAsia="仿宋" w:cs="仿宋"/>
                <w:color w:val="auto"/>
                <w:sz w:val="32"/>
                <w:szCs w:val="32"/>
              </w:rPr>
            </w:pPr>
            <w:r>
              <w:rPr>
                <w:rFonts w:hint="eastAsia" w:ascii="仿宋" w:hAnsi="仿宋" w:eastAsia="仿宋" w:cs="仿宋"/>
                <w:color w:val="auto"/>
                <w:sz w:val="32"/>
                <w:szCs w:val="32"/>
              </w:rPr>
              <w:t>直接经济损失一万元及以上，10万元以下</w:t>
            </w:r>
          </w:p>
        </w:tc>
      </w:tr>
      <w:tr w14:paraId="14D32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414F494C">
            <w:pPr>
              <w:pStyle w:val="16"/>
              <w:jc w:val="both"/>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2D71DAFF">
            <w:pPr>
              <w:pStyle w:val="16"/>
              <w:jc w:val="both"/>
              <w:rPr>
                <w:rFonts w:hint="eastAsia" w:ascii="仿宋" w:hAnsi="仿宋" w:eastAsia="仿宋" w:cs="仿宋"/>
                <w:sz w:val="32"/>
                <w:szCs w:val="32"/>
              </w:rPr>
            </w:pPr>
            <w:r>
              <w:rPr>
                <w:rFonts w:hint="eastAsia" w:ascii="仿宋" w:hAnsi="仿宋" w:eastAsia="仿宋" w:cs="仿宋"/>
                <w:sz w:val="32"/>
                <w:szCs w:val="32"/>
              </w:rPr>
              <w:t>1至2人轻微伤</w:t>
            </w:r>
          </w:p>
        </w:tc>
        <w:tc>
          <w:tcPr>
            <w:shd w:val="clear" w:color="auto" w:fill="auto"/>
            <w:vAlign w:val="center"/>
          </w:tcPr>
          <w:p w14:paraId="61BB4183">
            <w:pPr>
              <w:pStyle w:val="16"/>
              <w:jc w:val="both"/>
              <w:rPr>
                <w:rFonts w:hint="eastAsia" w:ascii="仿宋" w:hAnsi="仿宋" w:eastAsia="仿宋" w:cs="仿宋"/>
                <w:sz w:val="32"/>
                <w:szCs w:val="32"/>
              </w:rPr>
            </w:pPr>
            <w:r>
              <w:rPr>
                <w:rFonts w:hint="eastAsia" w:ascii="仿宋" w:hAnsi="仿宋" w:eastAsia="仿宋" w:cs="仿宋"/>
                <w:sz w:val="32"/>
                <w:szCs w:val="32"/>
              </w:rPr>
              <w:t>直接经济损失在1万元以下</w:t>
            </w:r>
          </w:p>
        </w:tc>
      </w:tr>
    </w:tbl>
    <w:p w14:paraId="04DEF0EF">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p>
    <w:p w14:paraId="4D61209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4.风险评价</w:t>
      </w:r>
    </w:p>
    <w:p w14:paraId="7293E09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风险评价是根据风险分析的结果，确定风险等级。</w:t>
      </w:r>
    </w:p>
    <w:p w14:paraId="1CDC9412">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4.1风险值（R）</w:t>
      </w:r>
    </w:p>
    <w:p w14:paraId="153CAD0C">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根据公式R=L×S计算出风险的风险值（R），并取最大值作为该风险的最终风险值（R）。</w:t>
      </w:r>
    </w:p>
    <w:p w14:paraId="11D53A83">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p>
    <w:p w14:paraId="5EB2FBE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风险矩阵（R）</w:t>
      </w:r>
    </w:p>
    <w:p w14:paraId="2244E81E">
      <w:pPr>
        <w:pStyle w:val="6"/>
        <w:ind w:left="0" w:leftChars="0" w:firstLine="0" w:firstLineChars="0"/>
        <w:jc w:val="center"/>
      </w:pPr>
      <w: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8"/>
                    <a:stretch>
                      <a:fillRect/>
                    </a:stretch>
                  </pic:blipFill>
                  <pic:spPr>
                    <a:xfrm>
                      <a:off x="0" y="0"/>
                      <a:ext cx="5201920" cy="2435225"/>
                    </a:xfrm>
                    <a:prstGeom prst="rect">
                      <a:avLst/>
                    </a:prstGeom>
                    <a:noFill/>
                    <a:ln w="9525">
                      <a:noFill/>
                    </a:ln>
                  </pic:spPr>
                </pic:pic>
              </a:graphicData>
            </a:graphic>
          </wp:inline>
        </w:drawing>
      </w:r>
    </w:p>
    <w:p w14:paraId="74225A3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4.2风险等级</w:t>
      </w:r>
    </w:p>
    <w:p w14:paraId="2631D537">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根据风险值（R）的大小，将风险由高到低分为重大风险、较大风险、一般风险和低风险四个等级。</w:t>
      </w:r>
    </w:p>
    <w:p w14:paraId="6387AC49">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43C69DA3">
      <w:pPr>
        <w:pStyle w:val="6"/>
        <w:ind w:left="0" w:leftChars="0" w:firstLine="0" w:firstLineChars="0"/>
        <w:jc w:val="center"/>
      </w:pPr>
      <w: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9"/>
                    <a:stretch>
                      <a:fillRect/>
                    </a:stretch>
                  </pic:blipFill>
                  <pic:spPr>
                    <a:xfrm>
                      <a:off x="0" y="0"/>
                      <a:ext cx="5735320" cy="2129155"/>
                    </a:xfrm>
                    <a:prstGeom prst="rect">
                      <a:avLst/>
                    </a:prstGeom>
                    <a:noFill/>
                    <a:ln w="9525">
                      <a:noFill/>
                    </a:ln>
                  </pic:spPr>
                </pic:pic>
              </a:graphicData>
            </a:graphic>
          </wp:inline>
        </w:drawing>
      </w:r>
    </w:p>
    <w:p w14:paraId="0C8C7CD8">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7A655CE5">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LEC法安全风险评价判定准则</w:t>
      </w:r>
    </w:p>
    <w:p w14:paraId="6D7B1611">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表1</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可能性（L）基准值</w:t>
      </w:r>
    </w:p>
    <w:tbl>
      <w:tblPr>
        <w:tblStyle w:val="17"/>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5"/>
        <w:gridCol w:w="4859"/>
        <w:gridCol w:w="2465"/>
        <w:gridCol w:w="770"/>
      </w:tblGrid>
      <w:tr w14:paraId="114DDDD4">
        <w:tblPrEx>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669542E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B155836">
            <w:pPr>
              <w:pStyle w:val="16"/>
              <w:jc w:val="center"/>
              <w:rPr>
                <w:rFonts w:hint="eastAsia" w:ascii="仿宋" w:hAnsi="仿宋" w:eastAsia="仿宋" w:cs="仿宋"/>
                <w:sz w:val="32"/>
                <w:szCs w:val="32"/>
              </w:rPr>
            </w:pPr>
            <w:r>
              <w:rPr>
                <w:rFonts w:hint="eastAsia" w:ascii="仿宋" w:hAnsi="仿宋" w:eastAsia="仿宋" w:cs="仿宋"/>
                <w:b/>
                <w:bCs/>
                <w:sz w:val="32"/>
                <w:szCs w:val="32"/>
              </w:rPr>
              <w:t>事故发生的可能性</w:t>
            </w:r>
          </w:p>
        </w:tc>
        <w:tc>
          <w:tcPr>
            <w:vMerge w:val="restart"/>
            <w:shd w:val="clear" w:color="auto" w:fill="auto"/>
            <w:vAlign w:val="center"/>
          </w:tcPr>
          <w:p w14:paraId="652B8D8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0B981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1B2C7A20">
            <w:pPr>
              <w:rPr>
                <w:rFonts w:hint="eastAsia" w:ascii="仿宋" w:hAnsi="仿宋" w:eastAsia="仿宋" w:cs="仿宋"/>
                <w:sz w:val="32"/>
                <w:szCs w:val="32"/>
                <w:lang w:eastAsia="zh-CN"/>
              </w:rPr>
            </w:pPr>
          </w:p>
        </w:tc>
        <w:tc>
          <w:tcPr>
            <w:shd w:val="clear" w:color="auto" w:fill="auto"/>
            <w:vAlign w:val="center"/>
          </w:tcPr>
          <w:p w14:paraId="34F34140">
            <w:pPr>
              <w:pStyle w:val="16"/>
              <w:jc w:val="left"/>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2BF6B5AC">
            <w:pPr>
              <w:pStyle w:val="16"/>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16A730C1">
            <w:pPr>
              <w:rPr>
                <w:rFonts w:hint="eastAsia" w:ascii="仿宋" w:hAnsi="仿宋" w:eastAsia="仿宋" w:cs="仿宋"/>
                <w:sz w:val="32"/>
                <w:szCs w:val="32"/>
                <w:lang w:eastAsia="zh-CN"/>
              </w:rPr>
            </w:pPr>
          </w:p>
        </w:tc>
      </w:tr>
      <w:tr w14:paraId="4E10E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1904B4CF">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7F66F8C9">
            <w:pPr>
              <w:pStyle w:val="16"/>
              <w:rPr>
                <w:rFonts w:hint="eastAsia" w:ascii="仿宋" w:hAnsi="仿宋" w:eastAsia="仿宋" w:cs="仿宋"/>
                <w:sz w:val="32"/>
                <w:szCs w:val="32"/>
              </w:rPr>
            </w:pPr>
            <w:r>
              <w:rPr>
                <w:rFonts w:hint="eastAsia" w:ascii="仿宋" w:hAnsi="仿宋" w:eastAsia="仿宋" w:cs="仿宋"/>
                <w:sz w:val="32"/>
                <w:szCs w:val="32"/>
              </w:rPr>
              <w:t>如果危害事件发生，即产生最可能和预期的结果（100%）</w:t>
            </w:r>
          </w:p>
        </w:tc>
        <w:tc>
          <w:tcPr>
            <w:shd w:val="clear" w:color="auto" w:fill="auto"/>
            <w:vAlign w:val="center"/>
          </w:tcPr>
          <w:p w14:paraId="43C654F4">
            <w:pPr>
              <w:pStyle w:val="16"/>
              <w:rPr>
                <w:rFonts w:hint="eastAsia" w:ascii="仿宋" w:hAnsi="仿宋" w:eastAsia="仿宋" w:cs="仿宋"/>
                <w:sz w:val="32"/>
                <w:szCs w:val="32"/>
              </w:rPr>
            </w:pPr>
            <w:r>
              <w:rPr>
                <w:rFonts w:hint="eastAsia" w:ascii="仿宋" w:hAnsi="仿宋" w:eastAsia="仿宋" w:cs="仿宋"/>
                <w:sz w:val="32"/>
                <w:szCs w:val="32"/>
              </w:rPr>
              <w:t>频繁：平均每6个月发生一次</w:t>
            </w:r>
          </w:p>
        </w:tc>
        <w:tc>
          <w:tcPr>
            <w:shd w:val="clear" w:color="auto" w:fill="auto"/>
            <w:vAlign w:val="center"/>
          </w:tcPr>
          <w:p w14:paraId="31DF5F8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41A6C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7E4EB9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385F2C25">
            <w:pPr>
              <w:pStyle w:val="16"/>
              <w:rPr>
                <w:rFonts w:hint="eastAsia" w:ascii="仿宋" w:hAnsi="仿宋" w:eastAsia="仿宋" w:cs="仿宋"/>
                <w:sz w:val="32"/>
                <w:szCs w:val="32"/>
              </w:rPr>
            </w:pPr>
            <w:r>
              <w:rPr>
                <w:rFonts w:hint="eastAsia" w:ascii="仿宋" w:hAnsi="仿宋" w:eastAsia="仿宋" w:cs="仿宋"/>
                <w:sz w:val="32"/>
                <w:szCs w:val="32"/>
              </w:rPr>
              <w:t>十分可能（50%）</w:t>
            </w:r>
          </w:p>
        </w:tc>
        <w:tc>
          <w:tcPr>
            <w:shd w:val="clear" w:color="auto" w:fill="auto"/>
            <w:vAlign w:val="center"/>
          </w:tcPr>
          <w:p w14:paraId="31BDC327">
            <w:pPr>
              <w:pStyle w:val="16"/>
              <w:rPr>
                <w:rFonts w:hint="eastAsia" w:ascii="仿宋" w:hAnsi="仿宋" w:eastAsia="仿宋" w:cs="仿宋"/>
                <w:sz w:val="32"/>
                <w:szCs w:val="32"/>
              </w:rPr>
            </w:pPr>
            <w:r>
              <w:rPr>
                <w:rFonts w:hint="eastAsia" w:ascii="仿宋" w:hAnsi="仿宋" w:eastAsia="仿宋" w:cs="仿宋"/>
                <w:sz w:val="32"/>
                <w:szCs w:val="32"/>
              </w:rPr>
              <w:t>持续：平均每1年发生一次</w:t>
            </w:r>
          </w:p>
        </w:tc>
        <w:tc>
          <w:tcPr>
            <w:shd w:val="clear" w:color="auto" w:fill="auto"/>
            <w:vAlign w:val="center"/>
          </w:tcPr>
          <w:p w14:paraId="160ACB1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7ED9E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5DA7DBDD">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0F0ECA8A">
            <w:pPr>
              <w:pStyle w:val="16"/>
              <w:rPr>
                <w:rFonts w:hint="eastAsia" w:ascii="仿宋" w:hAnsi="仿宋" w:eastAsia="仿宋" w:cs="仿宋"/>
                <w:sz w:val="32"/>
                <w:szCs w:val="32"/>
              </w:rPr>
            </w:pPr>
            <w:r>
              <w:rPr>
                <w:rFonts w:hint="eastAsia" w:ascii="仿宋" w:hAnsi="仿宋" w:eastAsia="仿宋" w:cs="仿宋"/>
                <w:sz w:val="32"/>
                <w:szCs w:val="32"/>
              </w:rPr>
              <w:t>可能（25%）</w:t>
            </w:r>
          </w:p>
        </w:tc>
        <w:tc>
          <w:tcPr>
            <w:shd w:val="clear" w:color="auto" w:fill="auto"/>
            <w:vAlign w:val="center"/>
          </w:tcPr>
          <w:p w14:paraId="3FEE0737">
            <w:pPr>
              <w:pStyle w:val="16"/>
              <w:rPr>
                <w:rFonts w:hint="eastAsia" w:ascii="仿宋" w:hAnsi="仿宋" w:eastAsia="仿宋" w:cs="仿宋"/>
                <w:sz w:val="32"/>
                <w:szCs w:val="32"/>
              </w:rPr>
            </w:pPr>
            <w:r>
              <w:rPr>
                <w:rFonts w:hint="eastAsia" w:ascii="仿宋" w:hAnsi="仿宋" w:eastAsia="仿宋" w:cs="仿宋"/>
                <w:sz w:val="32"/>
                <w:szCs w:val="32"/>
              </w:rPr>
              <w:t>经常：平均每1～2年发生一次</w:t>
            </w:r>
          </w:p>
        </w:tc>
        <w:tc>
          <w:tcPr>
            <w:shd w:val="clear" w:color="auto" w:fill="auto"/>
            <w:vAlign w:val="center"/>
          </w:tcPr>
          <w:p w14:paraId="3E5211B3">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66DA0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15DE87B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6D62771B">
            <w:pPr>
              <w:pStyle w:val="16"/>
              <w:rPr>
                <w:rFonts w:hint="eastAsia" w:ascii="仿宋" w:hAnsi="仿宋" w:eastAsia="仿宋" w:cs="仿宋"/>
                <w:sz w:val="32"/>
                <w:szCs w:val="32"/>
              </w:rPr>
            </w:pPr>
            <w:r>
              <w:rPr>
                <w:rFonts w:hint="eastAsia" w:ascii="仿宋" w:hAnsi="仿宋" w:eastAsia="仿宋" w:cs="仿宋"/>
                <w:sz w:val="32"/>
                <w:szCs w:val="32"/>
              </w:rPr>
              <w:t>很少的可能性，据说曾经发生过</w:t>
            </w:r>
          </w:p>
        </w:tc>
        <w:tc>
          <w:tcPr>
            <w:shd w:val="clear" w:color="auto" w:fill="auto"/>
            <w:vAlign w:val="center"/>
          </w:tcPr>
          <w:p w14:paraId="52465322">
            <w:pPr>
              <w:pStyle w:val="16"/>
              <w:rPr>
                <w:rFonts w:hint="eastAsia" w:ascii="仿宋" w:hAnsi="仿宋" w:eastAsia="仿宋" w:cs="仿宋"/>
                <w:sz w:val="32"/>
                <w:szCs w:val="32"/>
              </w:rPr>
            </w:pPr>
            <w:r>
              <w:rPr>
                <w:rFonts w:hint="eastAsia" w:ascii="仿宋" w:hAnsi="仿宋" w:eastAsia="仿宋" w:cs="仿宋"/>
                <w:sz w:val="32"/>
                <w:szCs w:val="32"/>
              </w:rPr>
              <w:t>偶然：3～9年发生一次</w:t>
            </w:r>
          </w:p>
        </w:tc>
        <w:tc>
          <w:tcPr>
            <w:shd w:val="clear" w:color="auto" w:fill="auto"/>
            <w:vAlign w:val="center"/>
          </w:tcPr>
          <w:p w14:paraId="36AACA0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49F5F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CB60A5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5F10CD4E">
            <w:pPr>
              <w:pStyle w:val="16"/>
              <w:rPr>
                <w:rFonts w:hint="eastAsia" w:ascii="仿宋" w:hAnsi="仿宋" w:eastAsia="仿宋" w:cs="仿宋"/>
                <w:sz w:val="32"/>
                <w:szCs w:val="32"/>
              </w:rPr>
            </w:pPr>
            <w:r>
              <w:rPr>
                <w:rFonts w:hint="eastAsia" w:ascii="仿宋" w:hAnsi="仿宋" w:eastAsia="仿宋" w:cs="仿宋"/>
                <w:sz w:val="32"/>
                <w:szCs w:val="32"/>
              </w:rPr>
              <w:t>相当少但确有可能，多年没有发生过</w:t>
            </w:r>
          </w:p>
        </w:tc>
        <w:tc>
          <w:tcPr>
            <w:shd w:val="clear" w:color="auto" w:fill="auto"/>
            <w:vAlign w:val="center"/>
          </w:tcPr>
          <w:p w14:paraId="1C1BC849">
            <w:pPr>
              <w:pStyle w:val="16"/>
              <w:rPr>
                <w:rFonts w:hint="eastAsia" w:ascii="仿宋" w:hAnsi="仿宋" w:eastAsia="仿宋" w:cs="仿宋"/>
                <w:sz w:val="32"/>
                <w:szCs w:val="32"/>
              </w:rPr>
            </w:pPr>
            <w:r>
              <w:rPr>
                <w:rFonts w:hint="eastAsia" w:ascii="仿宋" w:hAnsi="仿宋" w:eastAsia="仿宋" w:cs="仿宋"/>
                <w:sz w:val="32"/>
                <w:szCs w:val="32"/>
              </w:rPr>
              <w:t>很难：10～20年发生一次</w:t>
            </w:r>
          </w:p>
        </w:tc>
        <w:tc>
          <w:tcPr>
            <w:shd w:val="clear" w:color="auto" w:fill="auto"/>
            <w:vAlign w:val="center"/>
          </w:tcPr>
          <w:p w14:paraId="5B17A13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r w14:paraId="329B6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1A40525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68A08F21">
            <w:pPr>
              <w:pStyle w:val="16"/>
              <w:rPr>
                <w:rFonts w:hint="eastAsia" w:ascii="仿宋" w:hAnsi="仿宋" w:eastAsia="仿宋" w:cs="仿宋"/>
                <w:sz w:val="32"/>
                <w:szCs w:val="32"/>
              </w:rPr>
            </w:pPr>
            <w:r>
              <w:rPr>
                <w:rFonts w:hint="eastAsia" w:ascii="仿宋" w:hAnsi="仿宋" w:eastAsia="仿宋" w:cs="仿宋"/>
                <w:sz w:val="32"/>
                <w:szCs w:val="32"/>
              </w:rPr>
              <w:t>百万分之一的可能性，尽管暴露了许多年，但从来没有发生过</w:t>
            </w:r>
          </w:p>
        </w:tc>
        <w:tc>
          <w:tcPr>
            <w:shd w:val="clear" w:color="auto" w:fill="auto"/>
            <w:vAlign w:val="center"/>
          </w:tcPr>
          <w:p w14:paraId="334B44A0">
            <w:pPr>
              <w:pStyle w:val="16"/>
              <w:rPr>
                <w:rFonts w:hint="eastAsia" w:ascii="仿宋" w:hAnsi="仿宋" w:eastAsia="仿宋" w:cs="仿宋"/>
                <w:sz w:val="32"/>
                <w:szCs w:val="32"/>
              </w:rPr>
            </w:pPr>
            <w:r>
              <w:rPr>
                <w:rFonts w:hint="eastAsia" w:ascii="仿宋" w:hAnsi="仿宋" w:eastAsia="仿宋" w:cs="仿宋"/>
                <w:sz w:val="32"/>
                <w:szCs w:val="32"/>
              </w:rPr>
              <w:t>罕见：几乎从未发生过</w:t>
            </w:r>
          </w:p>
        </w:tc>
        <w:tc>
          <w:tcPr>
            <w:shd w:val="clear" w:color="auto" w:fill="auto"/>
            <w:vAlign w:val="center"/>
          </w:tcPr>
          <w:p w14:paraId="3BDA1EC1">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0.1</w:t>
            </w:r>
          </w:p>
        </w:tc>
      </w:tr>
    </w:tbl>
    <w:p w14:paraId="7F5646CA">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p>
    <w:p w14:paraId="3F3F4F93">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表2</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暴露率（E）基准值</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9"/>
        <w:gridCol w:w="3881"/>
        <w:gridCol w:w="3179"/>
        <w:gridCol w:w="773"/>
      </w:tblGrid>
      <w:tr w14:paraId="5015C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98CB04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AE2FFA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人员暴露于危险环境中的频繁程度</w:t>
            </w:r>
          </w:p>
        </w:tc>
        <w:tc>
          <w:tcPr>
            <w:vMerge w:val="restart"/>
            <w:shd w:val="clear" w:color="auto" w:fill="auto"/>
            <w:vAlign w:val="center"/>
          </w:tcPr>
          <w:p w14:paraId="3073DF2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126E6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46FA87">
            <w:pPr>
              <w:rPr>
                <w:rFonts w:hint="eastAsia" w:ascii="仿宋" w:hAnsi="仿宋" w:eastAsia="仿宋" w:cs="仿宋"/>
                <w:sz w:val="32"/>
                <w:szCs w:val="32"/>
                <w:lang w:eastAsia="zh-CN"/>
              </w:rPr>
            </w:pPr>
          </w:p>
        </w:tc>
        <w:tc>
          <w:tcPr>
            <w:shd w:val="clear" w:color="auto" w:fill="auto"/>
            <w:vAlign w:val="center"/>
          </w:tcPr>
          <w:p w14:paraId="69A0BE4A">
            <w:pPr>
              <w:pStyle w:val="16"/>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469386A2">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26D8E326">
            <w:pPr>
              <w:rPr>
                <w:rFonts w:hint="eastAsia" w:ascii="仿宋" w:hAnsi="仿宋" w:eastAsia="仿宋" w:cs="仿宋"/>
                <w:sz w:val="32"/>
                <w:szCs w:val="32"/>
                <w:lang w:eastAsia="zh-CN"/>
              </w:rPr>
            </w:pPr>
          </w:p>
        </w:tc>
      </w:tr>
      <w:tr w14:paraId="7189E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462D74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55385D85">
            <w:pPr>
              <w:pStyle w:val="16"/>
              <w:rPr>
                <w:rFonts w:hint="eastAsia" w:ascii="仿宋" w:hAnsi="仿宋" w:eastAsia="仿宋" w:cs="仿宋"/>
                <w:sz w:val="32"/>
                <w:szCs w:val="32"/>
              </w:rPr>
            </w:pPr>
            <w:r>
              <w:rPr>
                <w:rFonts w:hint="eastAsia" w:ascii="仿宋" w:hAnsi="仿宋" w:eastAsia="仿宋" w:cs="仿宋"/>
                <w:sz w:val="32"/>
                <w:szCs w:val="32"/>
              </w:rPr>
              <w:t>持续（每天许多次）</w:t>
            </w:r>
          </w:p>
        </w:tc>
        <w:tc>
          <w:tcPr>
            <w:shd w:val="clear" w:color="auto" w:fill="auto"/>
            <w:vAlign w:val="center"/>
          </w:tcPr>
          <w:p w14:paraId="6FA84DD5">
            <w:pPr>
              <w:pStyle w:val="16"/>
              <w:rPr>
                <w:rFonts w:hint="eastAsia" w:ascii="仿宋" w:hAnsi="仿宋" w:eastAsia="仿宋" w:cs="仿宋"/>
                <w:sz w:val="32"/>
                <w:szCs w:val="32"/>
              </w:rPr>
            </w:pPr>
            <w:r>
              <w:rPr>
                <w:rFonts w:hint="eastAsia" w:ascii="仿宋" w:hAnsi="仿宋" w:eastAsia="仿宋" w:cs="仿宋"/>
                <w:sz w:val="32"/>
                <w:szCs w:val="32"/>
              </w:rPr>
              <w:t>暴露期大于2倍的法定极限值</w:t>
            </w:r>
          </w:p>
        </w:tc>
        <w:tc>
          <w:tcPr>
            <w:shd w:val="clear" w:color="auto" w:fill="auto"/>
            <w:vAlign w:val="center"/>
          </w:tcPr>
          <w:p w14:paraId="55EEE2A1">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4164E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BEC4C5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6633C268">
            <w:pPr>
              <w:pStyle w:val="16"/>
              <w:rPr>
                <w:rFonts w:hint="eastAsia" w:ascii="仿宋" w:hAnsi="仿宋" w:eastAsia="仿宋" w:cs="仿宋"/>
                <w:sz w:val="32"/>
                <w:szCs w:val="32"/>
              </w:rPr>
            </w:pPr>
            <w:r>
              <w:rPr>
                <w:rFonts w:hint="eastAsia" w:ascii="仿宋" w:hAnsi="仿宋" w:eastAsia="仿宋" w:cs="仿宋"/>
                <w:sz w:val="32"/>
                <w:szCs w:val="32"/>
              </w:rPr>
              <w:t>经常（大概每天一次）</w:t>
            </w:r>
          </w:p>
        </w:tc>
        <w:tc>
          <w:tcPr>
            <w:shd w:val="clear" w:color="auto" w:fill="auto"/>
            <w:vAlign w:val="center"/>
          </w:tcPr>
          <w:p w14:paraId="43167DF0">
            <w:pPr>
              <w:pStyle w:val="16"/>
              <w:rPr>
                <w:rFonts w:hint="eastAsia" w:ascii="仿宋" w:hAnsi="仿宋" w:eastAsia="仿宋" w:cs="仿宋"/>
                <w:sz w:val="32"/>
                <w:szCs w:val="32"/>
              </w:rPr>
            </w:pPr>
            <w:r>
              <w:rPr>
                <w:rFonts w:hint="eastAsia" w:ascii="仿宋" w:hAnsi="仿宋" w:eastAsia="仿宋" w:cs="仿宋"/>
                <w:sz w:val="32"/>
                <w:szCs w:val="32"/>
              </w:rPr>
              <w:t>暴露期介于1～2倍法定极限值之间</w:t>
            </w:r>
          </w:p>
        </w:tc>
        <w:tc>
          <w:tcPr>
            <w:shd w:val="clear" w:color="auto" w:fill="auto"/>
            <w:vAlign w:val="center"/>
          </w:tcPr>
          <w:p w14:paraId="36E3596C">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1C77F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4965CBC">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262EAF16">
            <w:pPr>
              <w:pStyle w:val="16"/>
              <w:rPr>
                <w:rFonts w:hint="eastAsia" w:ascii="仿宋" w:hAnsi="仿宋" w:eastAsia="仿宋" w:cs="仿宋"/>
                <w:sz w:val="32"/>
                <w:szCs w:val="32"/>
              </w:rPr>
            </w:pPr>
            <w:r>
              <w:rPr>
                <w:rFonts w:hint="eastAsia" w:ascii="仿宋" w:hAnsi="仿宋" w:eastAsia="仿宋" w:cs="仿宋"/>
                <w:sz w:val="32"/>
                <w:szCs w:val="32"/>
              </w:rPr>
              <w:t>有时（从每周一次到每月一次）</w:t>
            </w:r>
          </w:p>
        </w:tc>
        <w:tc>
          <w:tcPr>
            <w:shd w:val="clear" w:color="auto" w:fill="auto"/>
            <w:vAlign w:val="center"/>
          </w:tcPr>
          <w:p w14:paraId="0655F64A">
            <w:pPr>
              <w:pStyle w:val="16"/>
              <w:rPr>
                <w:rFonts w:hint="eastAsia" w:ascii="仿宋" w:hAnsi="仿宋" w:eastAsia="仿宋" w:cs="仿宋"/>
                <w:sz w:val="32"/>
                <w:szCs w:val="32"/>
              </w:rPr>
            </w:pPr>
            <w:r>
              <w:rPr>
                <w:rFonts w:hint="eastAsia" w:ascii="仿宋" w:hAnsi="仿宋" w:eastAsia="仿宋" w:cs="仿宋"/>
                <w:sz w:val="32"/>
                <w:szCs w:val="32"/>
              </w:rPr>
              <w:t>暴露期在法定极限值内</w:t>
            </w:r>
          </w:p>
        </w:tc>
        <w:tc>
          <w:tcPr>
            <w:shd w:val="clear" w:color="auto" w:fill="auto"/>
            <w:vAlign w:val="center"/>
          </w:tcPr>
          <w:p w14:paraId="65F28F81">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1FEAD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18CA01F">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7131ED01">
            <w:pPr>
              <w:pStyle w:val="16"/>
              <w:rPr>
                <w:rFonts w:hint="eastAsia" w:ascii="仿宋" w:hAnsi="仿宋" w:eastAsia="仿宋" w:cs="仿宋"/>
                <w:sz w:val="32"/>
                <w:szCs w:val="32"/>
              </w:rPr>
            </w:pPr>
            <w:r>
              <w:rPr>
                <w:rFonts w:hint="eastAsia" w:ascii="仿宋" w:hAnsi="仿宋" w:eastAsia="仿宋" w:cs="仿宋"/>
                <w:sz w:val="32"/>
                <w:szCs w:val="32"/>
              </w:rPr>
              <w:t>偶尔（从每月一次到每年一次）</w:t>
            </w:r>
          </w:p>
        </w:tc>
        <w:tc>
          <w:tcPr>
            <w:shd w:val="clear" w:color="auto" w:fill="auto"/>
            <w:vAlign w:val="center"/>
          </w:tcPr>
          <w:p w14:paraId="3A1D1880">
            <w:pPr>
              <w:pStyle w:val="16"/>
              <w:rPr>
                <w:rFonts w:hint="eastAsia" w:ascii="仿宋" w:hAnsi="仿宋" w:eastAsia="仿宋" w:cs="仿宋"/>
                <w:sz w:val="32"/>
                <w:szCs w:val="32"/>
              </w:rPr>
            </w:pPr>
            <w:r>
              <w:rPr>
                <w:rFonts w:hint="eastAsia" w:ascii="仿宋" w:hAnsi="仿宋" w:eastAsia="仿宋" w:cs="仿宋"/>
                <w:sz w:val="32"/>
                <w:szCs w:val="32"/>
              </w:rPr>
              <w:t>暴露期在正常允许水平和法定极限值之间</w:t>
            </w:r>
          </w:p>
        </w:tc>
        <w:tc>
          <w:tcPr>
            <w:shd w:val="clear" w:color="auto" w:fill="auto"/>
            <w:vAlign w:val="center"/>
          </w:tcPr>
          <w:p w14:paraId="7C693D90">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r>
      <w:tr w14:paraId="6453C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B19F103">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2F97BE4">
            <w:pPr>
              <w:pStyle w:val="16"/>
              <w:rPr>
                <w:rFonts w:hint="eastAsia" w:ascii="仿宋" w:hAnsi="仿宋" w:eastAsia="仿宋" w:cs="仿宋"/>
                <w:sz w:val="32"/>
                <w:szCs w:val="32"/>
              </w:rPr>
            </w:pPr>
            <w:r>
              <w:rPr>
                <w:rFonts w:hint="eastAsia" w:ascii="仿宋" w:hAnsi="仿宋" w:eastAsia="仿宋" w:cs="仿宋"/>
                <w:sz w:val="32"/>
                <w:szCs w:val="32"/>
              </w:rPr>
              <w:t>很少（据说曾经发生过）</w:t>
            </w:r>
          </w:p>
        </w:tc>
        <w:tc>
          <w:tcPr>
            <w:shd w:val="clear" w:color="auto" w:fill="auto"/>
            <w:vAlign w:val="center"/>
          </w:tcPr>
          <w:p w14:paraId="30C0A2C7">
            <w:pPr>
              <w:pStyle w:val="16"/>
              <w:rPr>
                <w:rFonts w:hint="eastAsia" w:ascii="仿宋" w:hAnsi="仿宋" w:eastAsia="仿宋" w:cs="仿宋"/>
                <w:sz w:val="32"/>
                <w:szCs w:val="32"/>
              </w:rPr>
            </w:pPr>
            <w:r>
              <w:rPr>
                <w:rFonts w:hint="eastAsia" w:ascii="仿宋" w:hAnsi="仿宋" w:eastAsia="仿宋" w:cs="仿宋"/>
                <w:sz w:val="32"/>
                <w:szCs w:val="32"/>
              </w:rPr>
              <w:t>暴露期在正常允许水平内</w:t>
            </w:r>
          </w:p>
        </w:tc>
        <w:tc>
          <w:tcPr>
            <w:shd w:val="clear" w:color="auto" w:fill="auto"/>
            <w:vAlign w:val="center"/>
          </w:tcPr>
          <w:p w14:paraId="075F9CA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56F8D2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261CDA4">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2B6065F7">
            <w:pPr>
              <w:pStyle w:val="16"/>
              <w:rPr>
                <w:rFonts w:hint="eastAsia" w:ascii="仿宋" w:hAnsi="仿宋" w:eastAsia="仿宋" w:cs="仿宋"/>
                <w:sz w:val="32"/>
                <w:szCs w:val="32"/>
              </w:rPr>
            </w:pPr>
            <w:r>
              <w:rPr>
                <w:rFonts w:hint="eastAsia" w:ascii="仿宋" w:hAnsi="仿宋" w:eastAsia="仿宋" w:cs="仿宋"/>
                <w:sz w:val="32"/>
                <w:szCs w:val="32"/>
              </w:rPr>
              <w:t>特别少（没发生过，但有发生的可能性）</w:t>
            </w:r>
          </w:p>
        </w:tc>
        <w:tc>
          <w:tcPr>
            <w:shd w:val="clear" w:color="auto" w:fill="auto"/>
            <w:vAlign w:val="center"/>
          </w:tcPr>
          <w:p w14:paraId="51E1BF23">
            <w:pPr>
              <w:pStyle w:val="16"/>
              <w:rPr>
                <w:rFonts w:hint="eastAsia" w:ascii="仿宋" w:hAnsi="仿宋" w:eastAsia="仿宋" w:cs="仿宋"/>
                <w:sz w:val="32"/>
                <w:szCs w:val="32"/>
              </w:rPr>
            </w:pPr>
            <w:r>
              <w:rPr>
                <w:rFonts w:hint="eastAsia" w:ascii="仿宋" w:hAnsi="仿宋" w:eastAsia="仿宋" w:cs="仿宋"/>
                <w:sz w:val="32"/>
                <w:szCs w:val="32"/>
              </w:rPr>
              <w:t>暴露期低于正常允许水平</w:t>
            </w:r>
          </w:p>
        </w:tc>
        <w:tc>
          <w:tcPr>
            <w:shd w:val="clear" w:color="auto" w:fill="auto"/>
            <w:vAlign w:val="center"/>
          </w:tcPr>
          <w:p w14:paraId="1E238270">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bl>
    <w:p w14:paraId="7F696D6C">
      <w:pPr>
        <w:pStyle w:val="6"/>
        <w:rPr>
          <w:rFonts w:hint="eastAsia" w:ascii="仿宋" w:hAnsi="仿宋" w:eastAsia="仿宋" w:cs="仿宋"/>
          <w:b/>
          <w:bCs/>
          <w:sz w:val="32"/>
          <w:szCs w:val="32"/>
        </w:rPr>
      </w:pPr>
    </w:p>
    <w:p w14:paraId="6B9BF9F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表3</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后果（C）基准值</w:t>
      </w:r>
    </w:p>
    <w:tbl>
      <w:tblPr>
        <w:tblStyle w:val="17"/>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53C4C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B4D153D">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18F767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事故可能造成后果的严重程度</w:t>
            </w:r>
          </w:p>
        </w:tc>
        <w:tc>
          <w:tcPr>
            <w:shd w:val="clear" w:color="auto" w:fill="auto"/>
            <w:vAlign w:val="center"/>
          </w:tcPr>
          <w:p w14:paraId="68DC1A7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160F6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4CB427BB">
            <w:pPr>
              <w:pStyle w:val="16"/>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4F08923C">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5A5BD141">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（1）造成死亡≥3人；或重伤≥10人。</w:t>
            </w:r>
          </w:p>
        </w:tc>
        <w:tc>
          <w:tcPr>
            <w:vMerge w:val="restart"/>
            <w:shd w:val="clear" w:color="auto" w:fill="auto"/>
            <w:vAlign w:val="center"/>
          </w:tcPr>
          <w:p w14:paraId="1F28ABB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100</w:t>
            </w:r>
          </w:p>
        </w:tc>
      </w:tr>
      <w:tr w14:paraId="7B4E8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A0E7718">
            <w:pPr>
              <w:rPr>
                <w:rFonts w:hint="eastAsia" w:ascii="仿宋" w:hAnsi="仿宋" w:eastAsia="仿宋" w:cs="仿宋"/>
                <w:sz w:val="32"/>
                <w:szCs w:val="32"/>
                <w:lang w:eastAsia="zh-CN"/>
              </w:rPr>
            </w:pPr>
          </w:p>
        </w:tc>
        <w:tc>
          <w:tcPr>
            <w:shd w:val="clear" w:color="auto" w:fill="auto"/>
            <w:vAlign w:val="center"/>
          </w:tcPr>
          <w:p w14:paraId="58C8DC6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6A1F4FAC">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（1）造成设备或财产损失≥1000万元。</w:t>
            </w:r>
          </w:p>
        </w:tc>
        <w:tc>
          <w:tcPr>
            <w:vMerge w:val="continue"/>
            <w:shd w:val="clear" w:color="auto" w:fill="auto"/>
            <w:vAlign w:val="center"/>
          </w:tcPr>
          <w:p w14:paraId="5E0A0C62">
            <w:pPr>
              <w:rPr>
                <w:rFonts w:hint="eastAsia" w:ascii="仿宋" w:hAnsi="仿宋" w:eastAsia="仿宋" w:cs="仿宋"/>
                <w:sz w:val="32"/>
                <w:szCs w:val="32"/>
                <w:lang w:eastAsia="zh-CN"/>
              </w:rPr>
            </w:pPr>
          </w:p>
        </w:tc>
      </w:tr>
      <w:tr w14:paraId="0D3DC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37F7EB1">
            <w:pPr>
              <w:rPr>
                <w:rFonts w:hint="eastAsia" w:ascii="仿宋" w:hAnsi="仿宋" w:eastAsia="仿宋" w:cs="仿宋"/>
                <w:sz w:val="32"/>
                <w:szCs w:val="32"/>
                <w:lang w:eastAsia="zh-CN"/>
              </w:rPr>
            </w:pPr>
          </w:p>
        </w:tc>
        <w:tc>
          <w:tcPr>
            <w:shd w:val="clear" w:color="auto" w:fill="auto"/>
            <w:vAlign w:val="center"/>
          </w:tcPr>
          <w:p w14:paraId="77954C5C">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0009F394">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（1）造成较大以上电力安全事故。</w:t>
            </w:r>
          </w:p>
        </w:tc>
        <w:tc>
          <w:tcPr>
            <w:vMerge w:val="continue"/>
            <w:shd w:val="clear" w:color="auto" w:fill="auto"/>
            <w:vAlign w:val="center"/>
          </w:tcPr>
          <w:p w14:paraId="2CC35046">
            <w:pPr>
              <w:rPr>
                <w:rFonts w:hint="eastAsia" w:ascii="仿宋" w:hAnsi="仿宋" w:eastAsia="仿宋" w:cs="仿宋"/>
                <w:sz w:val="32"/>
                <w:szCs w:val="32"/>
                <w:lang w:eastAsia="zh-CN"/>
              </w:rPr>
            </w:pPr>
          </w:p>
        </w:tc>
      </w:tr>
      <w:tr w14:paraId="5F393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863CCB4">
            <w:pPr>
              <w:rPr>
                <w:rFonts w:hint="eastAsia" w:ascii="仿宋" w:hAnsi="仿宋" w:eastAsia="仿宋" w:cs="仿宋"/>
                <w:sz w:val="32"/>
                <w:szCs w:val="32"/>
                <w:lang w:eastAsia="zh-CN"/>
              </w:rPr>
            </w:pPr>
          </w:p>
        </w:tc>
        <w:tc>
          <w:tcPr>
            <w:shd w:val="clear" w:color="auto" w:fill="auto"/>
            <w:vAlign w:val="center"/>
          </w:tcPr>
          <w:p w14:paraId="6CA36D0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5A2A6EF1">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（1）造成大范围环境破坏；</w:t>
            </w:r>
            <w:r>
              <w:rPr>
                <w:rFonts w:hint="eastAsia" w:ascii="仿宋" w:hAnsi="仿宋" w:eastAsia="仿宋" w:cs="仿宋"/>
                <w:sz w:val="32"/>
                <w:szCs w:val="32"/>
              </w:rPr>
              <w:br w:type="textWrapping"/>
            </w:r>
            <w:r>
              <w:rPr>
                <w:rFonts w:hint="eastAsia" w:ascii="仿宋" w:hAnsi="仿宋" w:eastAsia="仿宋" w:cs="仿宋"/>
                <w:sz w:val="32"/>
                <w:szCs w:val="32"/>
              </w:rPr>
              <w:t>（2）造成人员死亡、环境恢复困难；</w:t>
            </w:r>
            <w:r>
              <w:rPr>
                <w:rFonts w:hint="eastAsia" w:ascii="仿宋" w:hAnsi="仿宋" w:eastAsia="仿宋" w:cs="仿宋"/>
                <w:sz w:val="32"/>
                <w:szCs w:val="32"/>
              </w:rPr>
              <w:br w:type="textWrapping"/>
            </w:r>
            <w:r>
              <w:rPr>
                <w:rFonts w:hint="eastAsia" w:ascii="仿宋" w:hAnsi="仿宋" w:eastAsia="仿宋" w:cs="仿宋"/>
                <w:sz w:val="32"/>
                <w:szCs w:val="32"/>
              </w:rPr>
              <w:t>（3）严重违反国家环境保护法律法规。</w:t>
            </w:r>
          </w:p>
        </w:tc>
        <w:tc>
          <w:tcPr>
            <w:vMerge w:val="continue"/>
            <w:shd w:val="clear" w:color="auto" w:fill="auto"/>
            <w:vAlign w:val="center"/>
          </w:tcPr>
          <w:p w14:paraId="3B1B99CD">
            <w:pPr>
              <w:rPr>
                <w:rFonts w:hint="eastAsia" w:ascii="仿宋" w:hAnsi="仿宋" w:eastAsia="仿宋" w:cs="仿宋"/>
                <w:sz w:val="32"/>
                <w:szCs w:val="32"/>
                <w:lang w:eastAsia="zh-CN"/>
              </w:rPr>
            </w:pPr>
          </w:p>
        </w:tc>
      </w:tr>
      <w:tr w14:paraId="70623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C18EAB4">
            <w:pPr>
              <w:rPr>
                <w:rFonts w:hint="eastAsia" w:ascii="仿宋" w:hAnsi="仿宋" w:eastAsia="仿宋" w:cs="仿宋"/>
                <w:sz w:val="32"/>
                <w:szCs w:val="32"/>
                <w:lang w:eastAsia="zh-CN"/>
              </w:rPr>
            </w:pPr>
          </w:p>
        </w:tc>
        <w:tc>
          <w:tcPr>
            <w:shd w:val="clear" w:color="auto" w:fill="auto"/>
            <w:vAlign w:val="center"/>
          </w:tcPr>
          <w:p w14:paraId="5D9A36D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6251F16A">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（1）造成3～9例无法复原的严重职业病；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（2）造成9例以上很难治愈的职业病。</w:t>
            </w:r>
          </w:p>
        </w:tc>
        <w:tc>
          <w:tcPr>
            <w:vMerge w:val="continue"/>
            <w:shd w:val="clear" w:color="auto" w:fill="auto"/>
            <w:vAlign w:val="center"/>
          </w:tcPr>
          <w:p w14:paraId="434DEBE7">
            <w:pPr>
              <w:rPr>
                <w:rFonts w:hint="eastAsia" w:ascii="仿宋" w:hAnsi="仿宋" w:eastAsia="仿宋" w:cs="仿宋"/>
                <w:sz w:val="32"/>
                <w:szCs w:val="32"/>
                <w:lang w:eastAsia="zh-CN"/>
              </w:rPr>
            </w:pPr>
          </w:p>
        </w:tc>
      </w:tr>
      <w:tr w14:paraId="668BE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4155207">
            <w:pPr>
              <w:pStyle w:val="16"/>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12A5A65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31F58E5E">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（1）造成1～2人死亡；或重伤3～9人。</w:t>
            </w:r>
          </w:p>
        </w:tc>
        <w:tc>
          <w:tcPr>
            <w:vMerge w:val="restart"/>
            <w:shd w:val="clear" w:color="auto" w:fill="auto"/>
            <w:vAlign w:val="center"/>
          </w:tcPr>
          <w:p w14:paraId="5327159D">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50</w:t>
            </w:r>
          </w:p>
        </w:tc>
      </w:tr>
      <w:tr w14:paraId="7B4E1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CDE891C">
            <w:pPr>
              <w:rPr>
                <w:rFonts w:hint="eastAsia" w:ascii="仿宋" w:hAnsi="仿宋" w:eastAsia="仿宋" w:cs="仿宋"/>
                <w:sz w:val="32"/>
                <w:szCs w:val="32"/>
                <w:lang w:eastAsia="zh-CN"/>
              </w:rPr>
            </w:pPr>
          </w:p>
        </w:tc>
        <w:tc>
          <w:tcPr>
            <w:shd w:val="clear" w:color="auto" w:fill="auto"/>
            <w:vAlign w:val="center"/>
          </w:tcPr>
          <w:p w14:paraId="71D2F2A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628F3F4E">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（1）造成设备或财产损失在100万元到1000万元之间。</w:t>
            </w:r>
          </w:p>
        </w:tc>
        <w:tc>
          <w:tcPr>
            <w:vMerge w:val="continue"/>
            <w:shd w:val="clear" w:color="auto" w:fill="auto"/>
            <w:vAlign w:val="center"/>
          </w:tcPr>
          <w:p w14:paraId="0A67E6C1">
            <w:pPr>
              <w:rPr>
                <w:rFonts w:hint="eastAsia" w:ascii="仿宋" w:hAnsi="仿宋" w:eastAsia="仿宋" w:cs="仿宋"/>
                <w:sz w:val="32"/>
                <w:szCs w:val="32"/>
                <w:lang w:eastAsia="zh-CN"/>
              </w:rPr>
            </w:pPr>
          </w:p>
        </w:tc>
      </w:tr>
      <w:tr w14:paraId="0B392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50B4E51">
            <w:pPr>
              <w:rPr>
                <w:rFonts w:hint="eastAsia" w:ascii="仿宋" w:hAnsi="仿宋" w:eastAsia="仿宋" w:cs="仿宋"/>
                <w:sz w:val="32"/>
                <w:szCs w:val="32"/>
                <w:lang w:eastAsia="zh-CN"/>
              </w:rPr>
            </w:pPr>
          </w:p>
        </w:tc>
        <w:tc>
          <w:tcPr>
            <w:shd w:val="clear" w:color="auto" w:fill="auto"/>
            <w:vAlign w:val="center"/>
          </w:tcPr>
          <w:p w14:paraId="0203EE6F">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6E2E64F8">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（1）造成一般电力安全事故且中断安全记录。</w:t>
            </w:r>
          </w:p>
        </w:tc>
        <w:tc>
          <w:tcPr>
            <w:vMerge w:val="continue"/>
            <w:shd w:val="clear" w:color="auto" w:fill="auto"/>
            <w:vAlign w:val="center"/>
          </w:tcPr>
          <w:p w14:paraId="6CD43AB0">
            <w:pPr>
              <w:rPr>
                <w:rFonts w:hint="eastAsia" w:ascii="仿宋" w:hAnsi="仿宋" w:eastAsia="仿宋" w:cs="仿宋"/>
                <w:sz w:val="32"/>
                <w:szCs w:val="32"/>
                <w:lang w:eastAsia="zh-CN"/>
              </w:rPr>
            </w:pPr>
          </w:p>
        </w:tc>
      </w:tr>
      <w:tr w14:paraId="141A2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6001208">
            <w:pPr>
              <w:rPr>
                <w:rFonts w:hint="eastAsia" w:ascii="仿宋" w:hAnsi="仿宋" w:eastAsia="仿宋" w:cs="仿宋"/>
                <w:sz w:val="32"/>
                <w:szCs w:val="32"/>
                <w:lang w:eastAsia="zh-CN"/>
              </w:rPr>
            </w:pPr>
          </w:p>
        </w:tc>
        <w:tc>
          <w:tcPr>
            <w:shd w:val="clear" w:color="auto" w:fill="auto"/>
            <w:vAlign w:val="center"/>
          </w:tcPr>
          <w:p w14:paraId="53F4C940">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23D657CB">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（1）造成较大范围的环境破坏；</w:t>
            </w:r>
            <w:r>
              <w:rPr>
                <w:rFonts w:hint="eastAsia" w:ascii="仿宋" w:hAnsi="仿宋" w:eastAsia="仿宋" w:cs="仿宋"/>
                <w:sz w:val="32"/>
                <w:szCs w:val="32"/>
              </w:rPr>
              <w:br w:type="textWrapping"/>
            </w:r>
            <w:r>
              <w:rPr>
                <w:rFonts w:hint="eastAsia" w:ascii="仿宋" w:hAnsi="仿宋" w:eastAsia="仿宋" w:cs="仿宋"/>
                <w:sz w:val="32"/>
                <w:szCs w:val="32"/>
              </w:rPr>
              <w:t>（2）影响后果可导致急性疾病或重大伤残，居民需要撤离；</w:t>
            </w:r>
            <w:r>
              <w:rPr>
                <w:rFonts w:hint="eastAsia" w:ascii="仿宋" w:hAnsi="仿宋" w:eastAsia="仿宋" w:cs="仿宋"/>
                <w:sz w:val="32"/>
                <w:szCs w:val="32"/>
              </w:rPr>
              <w:br w:type="textWrapping"/>
            </w:r>
            <w:r>
              <w:rPr>
                <w:rFonts w:hint="eastAsia" w:ascii="仿宋" w:hAnsi="仿宋" w:eastAsia="仿宋" w:cs="仿宋"/>
                <w:sz w:val="32"/>
                <w:szCs w:val="32"/>
              </w:rPr>
              <w:t>（3）政府要求整顿。</w:t>
            </w:r>
          </w:p>
        </w:tc>
        <w:tc>
          <w:tcPr>
            <w:vMerge w:val="continue"/>
            <w:shd w:val="clear" w:color="auto" w:fill="auto"/>
            <w:vAlign w:val="center"/>
          </w:tcPr>
          <w:p w14:paraId="0F3F5C61">
            <w:pPr>
              <w:rPr>
                <w:rFonts w:hint="eastAsia" w:ascii="仿宋" w:hAnsi="仿宋" w:eastAsia="仿宋" w:cs="仿宋"/>
                <w:sz w:val="32"/>
                <w:szCs w:val="32"/>
                <w:lang w:eastAsia="zh-CN"/>
              </w:rPr>
            </w:pPr>
          </w:p>
        </w:tc>
      </w:tr>
      <w:tr w14:paraId="1341A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664E710">
            <w:pPr>
              <w:rPr>
                <w:rFonts w:hint="eastAsia" w:ascii="仿宋" w:hAnsi="仿宋" w:eastAsia="仿宋" w:cs="仿宋"/>
                <w:sz w:val="32"/>
                <w:szCs w:val="32"/>
                <w:lang w:eastAsia="zh-CN"/>
              </w:rPr>
            </w:pPr>
          </w:p>
        </w:tc>
        <w:tc>
          <w:tcPr>
            <w:shd w:val="clear" w:color="auto" w:fill="auto"/>
            <w:vAlign w:val="center"/>
          </w:tcPr>
          <w:p w14:paraId="2486FEB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307354EA">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（2）造成3～9例以上很难治愈的职业病。</w:t>
            </w:r>
          </w:p>
        </w:tc>
        <w:tc>
          <w:tcPr>
            <w:vMerge w:val="continue"/>
            <w:shd w:val="clear" w:color="auto" w:fill="auto"/>
            <w:vAlign w:val="center"/>
          </w:tcPr>
          <w:p w14:paraId="40980DDB">
            <w:pPr>
              <w:rPr>
                <w:rFonts w:hint="eastAsia" w:ascii="仿宋" w:hAnsi="仿宋" w:eastAsia="仿宋" w:cs="仿宋"/>
                <w:sz w:val="32"/>
                <w:szCs w:val="32"/>
                <w:lang w:eastAsia="zh-CN"/>
              </w:rPr>
            </w:pPr>
          </w:p>
        </w:tc>
      </w:tr>
      <w:tr w14:paraId="211C6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7C57C6A">
            <w:pPr>
              <w:pStyle w:val="16"/>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655E9B41">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1D18EADC">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（1）造成重伤1～2人。</w:t>
            </w:r>
          </w:p>
        </w:tc>
        <w:tc>
          <w:tcPr>
            <w:vMerge w:val="restart"/>
            <w:shd w:val="clear" w:color="auto" w:fill="auto"/>
            <w:vAlign w:val="center"/>
          </w:tcPr>
          <w:p w14:paraId="0C00F3D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25</w:t>
            </w:r>
          </w:p>
        </w:tc>
      </w:tr>
      <w:tr w14:paraId="0CF220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5A1CE26">
            <w:pPr>
              <w:rPr>
                <w:rFonts w:hint="eastAsia" w:ascii="仿宋" w:hAnsi="仿宋" w:eastAsia="仿宋" w:cs="仿宋"/>
                <w:sz w:val="32"/>
                <w:szCs w:val="32"/>
                <w:lang w:eastAsia="zh-CN"/>
              </w:rPr>
            </w:pPr>
          </w:p>
        </w:tc>
        <w:tc>
          <w:tcPr>
            <w:shd w:val="clear" w:color="auto" w:fill="auto"/>
            <w:vAlign w:val="center"/>
          </w:tcPr>
          <w:p w14:paraId="2A07966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42A2E561">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（1）造成设备或财产损失在50万元到100万元之间。</w:t>
            </w:r>
          </w:p>
        </w:tc>
        <w:tc>
          <w:tcPr>
            <w:vMerge w:val="continue"/>
            <w:shd w:val="clear" w:color="auto" w:fill="auto"/>
            <w:vAlign w:val="center"/>
          </w:tcPr>
          <w:p w14:paraId="050A4BFB">
            <w:pPr>
              <w:rPr>
                <w:rFonts w:hint="eastAsia" w:ascii="仿宋" w:hAnsi="仿宋" w:eastAsia="仿宋" w:cs="仿宋"/>
                <w:sz w:val="32"/>
                <w:szCs w:val="32"/>
                <w:lang w:eastAsia="zh-CN"/>
              </w:rPr>
            </w:pPr>
          </w:p>
        </w:tc>
      </w:tr>
      <w:tr w14:paraId="4FB06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19B2453">
            <w:pPr>
              <w:rPr>
                <w:rFonts w:hint="eastAsia" w:ascii="仿宋" w:hAnsi="仿宋" w:eastAsia="仿宋" w:cs="仿宋"/>
                <w:sz w:val="32"/>
                <w:szCs w:val="32"/>
                <w:lang w:eastAsia="zh-CN"/>
              </w:rPr>
            </w:pPr>
          </w:p>
        </w:tc>
        <w:tc>
          <w:tcPr>
            <w:shd w:val="clear" w:color="auto" w:fill="auto"/>
            <w:vAlign w:val="center"/>
          </w:tcPr>
          <w:p w14:paraId="3CF47FC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541A3174">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（1）造成内部统计事故。</w:t>
            </w:r>
          </w:p>
        </w:tc>
        <w:tc>
          <w:tcPr>
            <w:vMerge w:val="continue"/>
            <w:shd w:val="clear" w:color="auto" w:fill="auto"/>
            <w:vAlign w:val="center"/>
          </w:tcPr>
          <w:p w14:paraId="5745C2A2">
            <w:pPr>
              <w:rPr>
                <w:rFonts w:hint="eastAsia" w:ascii="仿宋" w:hAnsi="仿宋" w:eastAsia="仿宋" w:cs="仿宋"/>
                <w:sz w:val="32"/>
                <w:szCs w:val="32"/>
                <w:lang w:eastAsia="zh-CN"/>
              </w:rPr>
            </w:pPr>
          </w:p>
        </w:tc>
      </w:tr>
      <w:tr w14:paraId="61DBD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5084642">
            <w:pPr>
              <w:rPr>
                <w:rFonts w:hint="eastAsia" w:ascii="仿宋" w:hAnsi="仿宋" w:eastAsia="仿宋" w:cs="仿宋"/>
                <w:sz w:val="32"/>
                <w:szCs w:val="32"/>
                <w:lang w:eastAsia="zh-CN"/>
              </w:rPr>
            </w:pPr>
          </w:p>
        </w:tc>
        <w:tc>
          <w:tcPr>
            <w:shd w:val="clear" w:color="auto" w:fill="auto"/>
            <w:vAlign w:val="center"/>
          </w:tcPr>
          <w:p w14:paraId="7320EC8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4EAF5AFA">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（1）影响到周边居民及生态环境，引起居民抗争。</w:t>
            </w:r>
          </w:p>
        </w:tc>
        <w:tc>
          <w:tcPr>
            <w:vMerge w:val="continue"/>
            <w:shd w:val="clear" w:color="auto" w:fill="auto"/>
            <w:vAlign w:val="center"/>
          </w:tcPr>
          <w:p w14:paraId="1E675C2C">
            <w:pPr>
              <w:rPr>
                <w:rFonts w:hint="eastAsia" w:ascii="仿宋" w:hAnsi="仿宋" w:eastAsia="仿宋" w:cs="仿宋"/>
                <w:sz w:val="32"/>
                <w:szCs w:val="32"/>
                <w:lang w:eastAsia="zh-CN"/>
              </w:rPr>
            </w:pPr>
          </w:p>
        </w:tc>
      </w:tr>
      <w:tr w14:paraId="36A34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600A350">
            <w:pPr>
              <w:rPr>
                <w:rFonts w:hint="eastAsia" w:ascii="仿宋" w:hAnsi="仿宋" w:eastAsia="仿宋" w:cs="仿宋"/>
                <w:sz w:val="32"/>
                <w:szCs w:val="32"/>
                <w:lang w:eastAsia="zh-CN"/>
              </w:rPr>
            </w:pPr>
          </w:p>
        </w:tc>
        <w:tc>
          <w:tcPr>
            <w:shd w:val="clear" w:color="auto" w:fill="auto"/>
            <w:vAlign w:val="center"/>
          </w:tcPr>
          <w:p w14:paraId="7A9EFE2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5942765D">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（1）造成1～2例难治愈或造成3～9例可治愈的职业病；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（2）造成9例以上与职业有关的疾病。</w:t>
            </w:r>
          </w:p>
        </w:tc>
        <w:tc>
          <w:tcPr>
            <w:vMerge w:val="continue"/>
            <w:shd w:val="clear" w:color="auto" w:fill="auto"/>
            <w:vAlign w:val="center"/>
          </w:tcPr>
          <w:p w14:paraId="1B2F9AB8">
            <w:pPr>
              <w:rPr>
                <w:rFonts w:hint="eastAsia" w:ascii="仿宋" w:hAnsi="仿宋" w:eastAsia="仿宋" w:cs="仿宋"/>
                <w:sz w:val="32"/>
                <w:szCs w:val="32"/>
                <w:lang w:eastAsia="zh-CN"/>
              </w:rPr>
            </w:pPr>
          </w:p>
        </w:tc>
      </w:tr>
      <w:tr w14:paraId="7B381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7A9784D5">
            <w:pPr>
              <w:pStyle w:val="16"/>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092EDA0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52B15D2B">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（1）造成轻伤3人以上。</w:t>
            </w:r>
          </w:p>
        </w:tc>
        <w:tc>
          <w:tcPr>
            <w:vMerge w:val="restart"/>
            <w:shd w:val="clear" w:color="auto" w:fill="auto"/>
            <w:vAlign w:val="center"/>
          </w:tcPr>
          <w:p w14:paraId="5B1FC83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p>
        </w:tc>
      </w:tr>
      <w:tr w14:paraId="19F34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B67074B">
            <w:pPr>
              <w:rPr>
                <w:rFonts w:hint="eastAsia" w:ascii="仿宋" w:hAnsi="仿宋" w:eastAsia="仿宋" w:cs="仿宋"/>
                <w:sz w:val="32"/>
                <w:szCs w:val="32"/>
                <w:lang w:eastAsia="zh-CN"/>
              </w:rPr>
            </w:pPr>
          </w:p>
        </w:tc>
        <w:tc>
          <w:tcPr>
            <w:shd w:val="clear" w:color="auto" w:fill="auto"/>
            <w:vAlign w:val="center"/>
          </w:tcPr>
          <w:p w14:paraId="65F56F1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412E7FE4">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（1）造成设备或财产损失在10万元到50万元之间。</w:t>
            </w:r>
          </w:p>
        </w:tc>
        <w:tc>
          <w:tcPr>
            <w:vMerge w:val="continue"/>
            <w:shd w:val="clear" w:color="auto" w:fill="auto"/>
            <w:vAlign w:val="center"/>
          </w:tcPr>
          <w:p w14:paraId="503BC1BA">
            <w:pPr>
              <w:rPr>
                <w:rFonts w:hint="eastAsia" w:ascii="仿宋" w:hAnsi="仿宋" w:eastAsia="仿宋" w:cs="仿宋"/>
                <w:sz w:val="32"/>
                <w:szCs w:val="32"/>
                <w:lang w:eastAsia="zh-CN"/>
              </w:rPr>
            </w:pPr>
          </w:p>
        </w:tc>
      </w:tr>
      <w:tr w14:paraId="1A3DC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C8EB9C3">
            <w:pPr>
              <w:rPr>
                <w:rFonts w:hint="eastAsia" w:ascii="仿宋" w:hAnsi="仿宋" w:eastAsia="仿宋" w:cs="仿宋"/>
                <w:sz w:val="32"/>
                <w:szCs w:val="32"/>
                <w:lang w:eastAsia="zh-CN"/>
              </w:rPr>
            </w:pPr>
          </w:p>
        </w:tc>
        <w:tc>
          <w:tcPr>
            <w:shd w:val="clear" w:color="auto" w:fill="auto"/>
            <w:vAlign w:val="center"/>
          </w:tcPr>
          <w:p w14:paraId="08BE747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1712CA04">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（1）造成设备一类障碍。</w:t>
            </w:r>
          </w:p>
        </w:tc>
        <w:tc>
          <w:tcPr>
            <w:vMerge w:val="continue"/>
            <w:shd w:val="clear" w:color="auto" w:fill="auto"/>
            <w:vAlign w:val="center"/>
          </w:tcPr>
          <w:p w14:paraId="2B42ADC9">
            <w:pPr>
              <w:rPr>
                <w:rFonts w:hint="eastAsia" w:ascii="仿宋" w:hAnsi="仿宋" w:eastAsia="仿宋" w:cs="仿宋"/>
                <w:sz w:val="32"/>
                <w:szCs w:val="32"/>
                <w:lang w:eastAsia="zh-CN"/>
              </w:rPr>
            </w:pPr>
          </w:p>
        </w:tc>
      </w:tr>
      <w:tr w14:paraId="58B4C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9E8EDF4">
            <w:pPr>
              <w:rPr>
                <w:rFonts w:hint="eastAsia" w:ascii="仿宋" w:hAnsi="仿宋" w:eastAsia="仿宋" w:cs="仿宋"/>
                <w:sz w:val="32"/>
                <w:szCs w:val="32"/>
                <w:lang w:eastAsia="zh-CN"/>
              </w:rPr>
            </w:pPr>
          </w:p>
        </w:tc>
        <w:tc>
          <w:tcPr>
            <w:shd w:val="clear" w:color="auto" w:fill="auto"/>
            <w:vAlign w:val="center"/>
          </w:tcPr>
          <w:p w14:paraId="4383F19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4CDBAD3E">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（1）对周边居民及环境有些影响，引起居民抱怨、投诉。</w:t>
            </w:r>
          </w:p>
        </w:tc>
        <w:tc>
          <w:tcPr>
            <w:vMerge w:val="continue"/>
            <w:shd w:val="clear" w:color="auto" w:fill="auto"/>
            <w:vAlign w:val="center"/>
          </w:tcPr>
          <w:p w14:paraId="798A59DE">
            <w:pPr>
              <w:rPr>
                <w:rFonts w:hint="eastAsia" w:ascii="仿宋" w:hAnsi="仿宋" w:eastAsia="仿宋" w:cs="仿宋"/>
                <w:sz w:val="32"/>
                <w:szCs w:val="32"/>
                <w:lang w:eastAsia="zh-CN"/>
              </w:rPr>
            </w:pPr>
          </w:p>
        </w:tc>
      </w:tr>
      <w:tr w14:paraId="607CD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3ADC35C">
            <w:pPr>
              <w:rPr>
                <w:rFonts w:hint="eastAsia" w:ascii="仿宋" w:hAnsi="仿宋" w:eastAsia="仿宋" w:cs="仿宋"/>
                <w:sz w:val="32"/>
                <w:szCs w:val="32"/>
                <w:lang w:eastAsia="zh-CN"/>
              </w:rPr>
            </w:pPr>
          </w:p>
        </w:tc>
        <w:tc>
          <w:tcPr>
            <w:shd w:val="clear" w:color="auto" w:fill="auto"/>
            <w:vAlign w:val="center"/>
          </w:tcPr>
          <w:p w14:paraId="77F8F502">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49BCB78A">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（2）造成3～9例与职业有关的疾病。</w:t>
            </w:r>
          </w:p>
        </w:tc>
        <w:tc>
          <w:tcPr>
            <w:vMerge w:val="continue"/>
            <w:shd w:val="clear" w:color="auto" w:fill="auto"/>
            <w:vAlign w:val="center"/>
          </w:tcPr>
          <w:p w14:paraId="42554FDA">
            <w:pPr>
              <w:rPr>
                <w:rFonts w:hint="eastAsia" w:ascii="仿宋" w:hAnsi="仿宋" w:eastAsia="仿宋" w:cs="仿宋"/>
                <w:sz w:val="32"/>
                <w:szCs w:val="32"/>
                <w:lang w:eastAsia="zh-CN"/>
              </w:rPr>
            </w:pPr>
          </w:p>
        </w:tc>
      </w:tr>
      <w:tr w14:paraId="25022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7814D9B">
            <w:pPr>
              <w:pStyle w:val="16"/>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2C5A21C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1792C7E2">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（1）造成轻伤1～2人。</w:t>
            </w:r>
          </w:p>
        </w:tc>
        <w:tc>
          <w:tcPr>
            <w:vMerge w:val="restart"/>
            <w:shd w:val="clear" w:color="auto" w:fill="auto"/>
            <w:vAlign w:val="center"/>
          </w:tcPr>
          <w:p w14:paraId="668F424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r>
      <w:tr w14:paraId="313FA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AF04420">
            <w:pPr>
              <w:rPr>
                <w:rFonts w:hint="eastAsia" w:ascii="仿宋" w:hAnsi="仿宋" w:eastAsia="仿宋" w:cs="仿宋"/>
                <w:sz w:val="32"/>
                <w:szCs w:val="32"/>
                <w:lang w:eastAsia="zh-CN"/>
              </w:rPr>
            </w:pPr>
          </w:p>
        </w:tc>
        <w:tc>
          <w:tcPr>
            <w:shd w:val="clear" w:color="auto" w:fill="auto"/>
            <w:vAlign w:val="center"/>
          </w:tcPr>
          <w:p w14:paraId="4127B52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0FB7C9E5">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（1）造成设备或财产损失在2万元到10万元之间。</w:t>
            </w:r>
          </w:p>
        </w:tc>
        <w:tc>
          <w:tcPr>
            <w:vMerge w:val="continue"/>
            <w:shd w:val="clear" w:color="auto" w:fill="auto"/>
            <w:vAlign w:val="center"/>
          </w:tcPr>
          <w:p w14:paraId="0BC4C907">
            <w:pPr>
              <w:rPr>
                <w:rFonts w:hint="eastAsia" w:ascii="仿宋" w:hAnsi="仿宋" w:eastAsia="仿宋" w:cs="仿宋"/>
                <w:sz w:val="32"/>
                <w:szCs w:val="32"/>
                <w:lang w:eastAsia="zh-CN"/>
              </w:rPr>
            </w:pPr>
          </w:p>
        </w:tc>
      </w:tr>
      <w:tr w14:paraId="3A54A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53CD10A">
            <w:pPr>
              <w:rPr>
                <w:rFonts w:hint="eastAsia" w:ascii="仿宋" w:hAnsi="仿宋" w:eastAsia="仿宋" w:cs="仿宋"/>
                <w:sz w:val="32"/>
                <w:szCs w:val="32"/>
                <w:lang w:eastAsia="zh-CN"/>
              </w:rPr>
            </w:pPr>
          </w:p>
        </w:tc>
        <w:tc>
          <w:tcPr>
            <w:shd w:val="clear" w:color="auto" w:fill="auto"/>
            <w:vAlign w:val="center"/>
          </w:tcPr>
          <w:p w14:paraId="10333C6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11BE12FD">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（1）造成设备二类障碍。</w:t>
            </w:r>
          </w:p>
        </w:tc>
        <w:tc>
          <w:tcPr>
            <w:vMerge w:val="continue"/>
            <w:shd w:val="clear" w:color="auto" w:fill="auto"/>
            <w:vAlign w:val="center"/>
          </w:tcPr>
          <w:p w14:paraId="61D84439">
            <w:pPr>
              <w:rPr>
                <w:rFonts w:hint="eastAsia" w:ascii="仿宋" w:hAnsi="仿宋" w:eastAsia="仿宋" w:cs="仿宋"/>
                <w:sz w:val="32"/>
                <w:szCs w:val="32"/>
                <w:lang w:eastAsia="zh-CN"/>
              </w:rPr>
            </w:pPr>
          </w:p>
        </w:tc>
      </w:tr>
      <w:tr w14:paraId="69A6F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DAC80BD">
            <w:pPr>
              <w:rPr>
                <w:rFonts w:hint="eastAsia" w:ascii="仿宋" w:hAnsi="仿宋" w:eastAsia="仿宋" w:cs="仿宋"/>
                <w:sz w:val="32"/>
                <w:szCs w:val="32"/>
                <w:lang w:eastAsia="zh-CN"/>
              </w:rPr>
            </w:pPr>
          </w:p>
        </w:tc>
        <w:tc>
          <w:tcPr>
            <w:shd w:val="clear" w:color="auto" w:fill="auto"/>
            <w:vAlign w:val="center"/>
          </w:tcPr>
          <w:p w14:paraId="6A93DE5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69EE4B0B">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（1）轻度影响到周边居民及小范围（现场）生态环境。</w:t>
            </w:r>
          </w:p>
        </w:tc>
        <w:tc>
          <w:tcPr>
            <w:vMerge w:val="continue"/>
            <w:shd w:val="clear" w:color="auto" w:fill="auto"/>
            <w:vAlign w:val="center"/>
          </w:tcPr>
          <w:p w14:paraId="3302568D">
            <w:pPr>
              <w:rPr>
                <w:rFonts w:hint="eastAsia" w:ascii="仿宋" w:hAnsi="仿宋" w:eastAsia="仿宋" w:cs="仿宋"/>
                <w:sz w:val="32"/>
                <w:szCs w:val="32"/>
                <w:lang w:eastAsia="zh-CN"/>
              </w:rPr>
            </w:pPr>
          </w:p>
        </w:tc>
      </w:tr>
      <w:tr w14:paraId="4E960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0D0C346">
            <w:pPr>
              <w:rPr>
                <w:rFonts w:hint="eastAsia" w:ascii="仿宋" w:hAnsi="仿宋" w:eastAsia="仿宋" w:cs="仿宋"/>
                <w:sz w:val="32"/>
                <w:szCs w:val="32"/>
                <w:lang w:eastAsia="zh-CN"/>
              </w:rPr>
            </w:pPr>
          </w:p>
        </w:tc>
        <w:tc>
          <w:tcPr>
            <w:shd w:val="clear" w:color="auto" w:fill="auto"/>
            <w:vAlign w:val="center"/>
          </w:tcPr>
          <w:p w14:paraId="511535D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2ED14149">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（1）造成1～2例与职业有关的疾病；</w:t>
            </w:r>
            <w:r>
              <w:rPr>
                <w:rFonts w:hint="eastAsia" w:ascii="仿宋" w:hAnsi="仿宋" w:eastAsia="仿宋" w:cs="仿宋"/>
                <w:sz w:val="32"/>
                <w:szCs w:val="32"/>
              </w:rPr>
              <w:br w:type="textWrapping"/>
            </w:r>
            <w:r>
              <w:rPr>
                <w:rFonts w:hint="eastAsia" w:ascii="仿宋" w:hAnsi="仿宋" w:eastAsia="仿宋" w:cs="仿宋"/>
                <w:sz w:val="32"/>
                <w:szCs w:val="32"/>
              </w:rPr>
              <w:t>（2）造成3～9例有影响健康的事件。</w:t>
            </w:r>
          </w:p>
        </w:tc>
        <w:tc>
          <w:tcPr>
            <w:vMerge w:val="continue"/>
            <w:shd w:val="clear" w:color="auto" w:fill="auto"/>
            <w:vAlign w:val="center"/>
          </w:tcPr>
          <w:p w14:paraId="70BE626B">
            <w:pPr>
              <w:rPr>
                <w:rFonts w:hint="eastAsia" w:ascii="仿宋" w:hAnsi="仿宋" w:eastAsia="仿宋" w:cs="仿宋"/>
                <w:sz w:val="32"/>
                <w:szCs w:val="32"/>
                <w:lang w:eastAsia="zh-CN"/>
              </w:rPr>
            </w:pPr>
          </w:p>
        </w:tc>
      </w:tr>
      <w:tr w14:paraId="2071F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C7E8C51">
            <w:pPr>
              <w:pStyle w:val="16"/>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07FDEBB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0FB14820">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（1）可能造成人员轻微的伤害（小的割伤、擦伤、撞伤）。</w:t>
            </w:r>
          </w:p>
        </w:tc>
        <w:tc>
          <w:tcPr>
            <w:vMerge w:val="restart"/>
            <w:shd w:val="clear" w:color="auto" w:fill="auto"/>
            <w:vAlign w:val="center"/>
          </w:tcPr>
          <w:p w14:paraId="58E9255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39EE0F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8E39C1B">
            <w:pPr>
              <w:rPr>
                <w:rFonts w:hint="eastAsia" w:ascii="仿宋" w:hAnsi="仿宋" w:eastAsia="仿宋" w:cs="仿宋"/>
                <w:sz w:val="32"/>
                <w:szCs w:val="32"/>
                <w:lang w:eastAsia="zh-CN"/>
              </w:rPr>
            </w:pPr>
          </w:p>
        </w:tc>
        <w:tc>
          <w:tcPr>
            <w:shd w:val="clear" w:color="auto" w:fill="auto"/>
            <w:vAlign w:val="center"/>
          </w:tcPr>
          <w:p w14:paraId="64FB5BA1">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49F8D1BA">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（1）可能造成设备或财产损失在2万元以下。</w:t>
            </w:r>
          </w:p>
        </w:tc>
        <w:tc>
          <w:tcPr>
            <w:vMerge w:val="continue"/>
            <w:shd w:val="clear" w:color="auto" w:fill="auto"/>
            <w:vAlign w:val="center"/>
          </w:tcPr>
          <w:p w14:paraId="043154CB">
            <w:pPr>
              <w:rPr>
                <w:rFonts w:hint="eastAsia" w:ascii="仿宋" w:hAnsi="仿宋" w:eastAsia="仿宋" w:cs="仿宋"/>
                <w:sz w:val="32"/>
                <w:szCs w:val="32"/>
                <w:lang w:eastAsia="zh-CN"/>
              </w:rPr>
            </w:pPr>
          </w:p>
        </w:tc>
      </w:tr>
      <w:tr w14:paraId="014E90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831C40C">
            <w:pPr>
              <w:rPr>
                <w:rFonts w:hint="eastAsia" w:ascii="仿宋" w:hAnsi="仿宋" w:eastAsia="仿宋" w:cs="仿宋"/>
                <w:sz w:val="32"/>
                <w:szCs w:val="32"/>
                <w:lang w:eastAsia="zh-CN"/>
              </w:rPr>
            </w:pPr>
          </w:p>
        </w:tc>
        <w:tc>
          <w:tcPr>
            <w:shd w:val="clear" w:color="auto" w:fill="auto"/>
            <w:vAlign w:val="center"/>
          </w:tcPr>
          <w:p w14:paraId="007A67A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4198DECB">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（1）造成设备异常。</w:t>
            </w:r>
          </w:p>
        </w:tc>
        <w:tc>
          <w:tcPr>
            <w:vMerge w:val="continue"/>
            <w:shd w:val="clear" w:color="auto" w:fill="auto"/>
            <w:vAlign w:val="center"/>
          </w:tcPr>
          <w:p w14:paraId="5B028A7A">
            <w:pPr>
              <w:rPr>
                <w:rFonts w:hint="eastAsia" w:ascii="仿宋" w:hAnsi="仿宋" w:eastAsia="仿宋" w:cs="仿宋"/>
                <w:sz w:val="32"/>
                <w:szCs w:val="32"/>
                <w:lang w:eastAsia="zh-CN"/>
              </w:rPr>
            </w:pPr>
          </w:p>
        </w:tc>
      </w:tr>
      <w:tr w14:paraId="0DF7B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91CA8D4">
            <w:pPr>
              <w:rPr>
                <w:rFonts w:hint="eastAsia" w:ascii="仿宋" w:hAnsi="仿宋" w:eastAsia="仿宋" w:cs="仿宋"/>
                <w:sz w:val="32"/>
                <w:szCs w:val="32"/>
                <w:lang w:eastAsia="zh-CN"/>
              </w:rPr>
            </w:pPr>
          </w:p>
        </w:tc>
        <w:tc>
          <w:tcPr>
            <w:shd w:val="clear" w:color="auto" w:fill="auto"/>
            <w:vAlign w:val="center"/>
          </w:tcPr>
          <w:p w14:paraId="5D49FC2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2B42E767">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（1）对现场景观有轻度影响。</w:t>
            </w:r>
          </w:p>
        </w:tc>
        <w:tc>
          <w:tcPr>
            <w:vMerge w:val="continue"/>
            <w:shd w:val="clear" w:color="auto" w:fill="auto"/>
            <w:vAlign w:val="center"/>
          </w:tcPr>
          <w:p w14:paraId="576FFA0E">
            <w:pPr>
              <w:rPr>
                <w:rFonts w:hint="eastAsia" w:ascii="仿宋" w:hAnsi="仿宋" w:eastAsia="仿宋" w:cs="仿宋"/>
                <w:sz w:val="32"/>
                <w:szCs w:val="32"/>
                <w:lang w:eastAsia="zh-CN"/>
              </w:rPr>
            </w:pPr>
          </w:p>
        </w:tc>
      </w:tr>
      <w:tr w14:paraId="195AE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C7EAE35">
            <w:pPr>
              <w:rPr>
                <w:rFonts w:hint="eastAsia" w:ascii="仿宋" w:hAnsi="仿宋" w:eastAsia="仿宋" w:cs="仿宋"/>
                <w:sz w:val="32"/>
                <w:szCs w:val="32"/>
                <w:lang w:eastAsia="zh-CN"/>
              </w:rPr>
            </w:pPr>
          </w:p>
        </w:tc>
        <w:tc>
          <w:tcPr>
            <w:shd w:val="clear" w:color="auto" w:fill="auto"/>
            <w:vAlign w:val="center"/>
          </w:tcPr>
          <w:p w14:paraId="496F687C">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7911F3C9">
            <w:pPr>
              <w:pStyle w:val="16"/>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（1）可能造成1～2例有健康影响的事件。</w:t>
            </w:r>
          </w:p>
        </w:tc>
        <w:tc>
          <w:tcPr>
            <w:vMerge w:val="continue"/>
            <w:shd w:val="clear" w:color="auto" w:fill="auto"/>
            <w:vAlign w:val="center"/>
          </w:tcPr>
          <w:p w14:paraId="39E90817">
            <w:pPr>
              <w:rPr>
                <w:rFonts w:hint="eastAsia" w:ascii="仿宋" w:hAnsi="仿宋" w:eastAsia="仿宋" w:cs="仿宋"/>
                <w:sz w:val="32"/>
                <w:szCs w:val="32"/>
                <w:lang w:eastAsia="zh-CN"/>
              </w:rPr>
            </w:pPr>
          </w:p>
        </w:tc>
      </w:tr>
    </w:tbl>
    <w:p w14:paraId="7F6CDE0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rPr>
      </w:pPr>
    </w:p>
    <w:p w14:paraId="661F9520">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表4</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风险等级（D=L×E×C）标准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106"/>
        <w:gridCol w:w="3701"/>
        <w:gridCol w:w="2711"/>
      </w:tblGrid>
      <w:tr w14:paraId="0B6EF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06" w:type="dxa"/>
            <w:shd w:val="clear" w:color="auto" w:fill="auto"/>
            <w:vAlign w:val="center"/>
          </w:tcPr>
          <w:p w14:paraId="05F9721B">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tcW w:w="3701" w:type="dxa"/>
            <w:shd w:val="clear" w:color="auto" w:fill="auto"/>
            <w:vAlign w:val="center"/>
          </w:tcPr>
          <w:p w14:paraId="227DB6D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风险等级</w:t>
            </w:r>
          </w:p>
        </w:tc>
        <w:tc>
          <w:tcPr>
            <w:tcW w:w="2711" w:type="dxa"/>
            <w:shd w:val="clear" w:color="auto" w:fill="auto"/>
            <w:vAlign w:val="center"/>
          </w:tcPr>
          <w:p w14:paraId="497D0CED">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判定条件</w:t>
            </w:r>
          </w:p>
        </w:tc>
      </w:tr>
      <w:tr w14:paraId="4128F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06" w:type="dxa"/>
            <w:shd w:val="clear" w:color="auto" w:fill="auto"/>
            <w:vAlign w:val="center"/>
          </w:tcPr>
          <w:p w14:paraId="3BCA90E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tcW w:w="3701" w:type="dxa"/>
            <w:shd w:val="clear" w:color="auto" w:fill="auto"/>
            <w:vAlign w:val="center"/>
          </w:tcPr>
          <w:p w14:paraId="766BF54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重大风险</w:t>
            </w:r>
          </w:p>
        </w:tc>
        <w:tc>
          <w:tcPr>
            <w:tcW w:w="2711" w:type="dxa"/>
            <w:shd w:val="clear" w:color="auto" w:fill="auto"/>
            <w:vAlign w:val="center"/>
          </w:tcPr>
          <w:p w14:paraId="7C601648">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D≥400</w:t>
            </w:r>
          </w:p>
        </w:tc>
      </w:tr>
      <w:tr w14:paraId="48DD7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06" w:type="dxa"/>
            <w:shd w:val="clear" w:color="auto" w:fill="auto"/>
            <w:vAlign w:val="center"/>
          </w:tcPr>
          <w:p w14:paraId="7474D5E9">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tcW w:w="3701" w:type="dxa"/>
            <w:shd w:val="clear" w:color="auto" w:fill="auto"/>
            <w:vAlign w:val="center"/>
          </w:tcPr>
          <w:p w14:paraId="62BA9E8A">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较大风险</w:t>
            </w:r>
          </w:p>
        </w:tc>
        <w:tc>
          <w:tcPr>
            <w:tcW w:w="2711" w:type="dxa"/>
            <w:shd w:val="clear" w:color="auto" w:fill="auto"/>
            <w:vAlign w:val="center"/>
          </w:tcPr>
          <w:p w14:paraId="7E45027E">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200≤D＜400</w:t>
            </w:r>
          </w:p>
        </w:tc>
      </w:tr>
      <w:tr w14:paraId="57BEC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06" w:type="dxa"/>
            <w:shd w:val="clear" w:color="auto" w:fill="auto"/>
            <w:vAlign w:val="center"/>
          </w:tcPr>
          <w:p w14:paraId="44B075ED">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tcW w:w="3701" w:type="dxa"/>
            <w:shd w:val="clear" w:color="auto" w:fill="auto"/>
            <w:vAlign w:val="center"/>
          </w:tcPr>
          <w:p w14:paraId="76CB9AE7">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一般风险</w:t>
            </w:r>
          </w:p>
        </w:tc>
        <w:tc>
          <w:tcPr>
            <w:tcW w:w="2711" w:type="dxa"/>
            <w:shd w:val="clear" w:color="auto" w:fill="auto"/>
            <w:vAlign w:val="center"/>
          </w:tcPr>
          <w:p w14:paraId="5A83BC3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70≤D＜200</w:t>
            </w:r>
          </w:p>
        </w:tc>
      </w:tr>
      <w:tr w14:paraId="39C20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106" w:type="dxa"/>
            <w:shd w:val="clear" w:color="auto" w:fill="auto"/>
            <w:vAlign w:val="center"/>
          </w:tcPr>
          <w:p w14:paraId="67CC6F65">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tcW w:w="3701" w:type="dxa"/>
            <w:shd w:val="clear" w:color="auto" w:fill="auto"/>
            <w:vAlign w:val="center"/>
          </w:tcPr>
          <w:p w14:paraId="666D7F46">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低风险</w:t>
            </w:r>
          </w:p>
        </w:tc>
        <w:tc>
          <w:tcPr>
            <w:tcW w:w="2711" w:type="dxa"/>
            <w:shd w:val="clear" w:color="auto" w:fill="auto"/>
            <w:vAlign w:val="center"/>
          </w:tcPr>
          <w:p w14:paraId="19587E04">
            <w:pPr>
              <w:pStyle w:val="16"/>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D＜70</w:t>
            </w:r>
          </w:p>
        </w:tc>
      </w:tr>
    </w:tbl>
    <w:p w14:paraId="504D80F5">
      <w:pPr>
        <w:rPr>
          <w:rFonts w:hint="eastAsia" w:ascii="宋体" w:hAnsi="宋体" w:eastAsia="宋体" w:cs="宋体"/>
          <w:sz w:val="28"/>
          <w:szCs w:val="28"/>
        </w:rPr>
      </w:pPr>
    </w:p>
    <w:p w14:paraId="13EE89FC">
      <w:pPr>
        <w:pStyle w:val="6"/>
        <w:rPr>
          <w:rFonts w:hint="eastAsia"/>
          <w:lang w:val="en-US" w:eastAsia="zh-CN"/>
        </w:rPr>
      </w:pPr>
    </w:p>
    <w:p w14:paraId="5C09A585">
      <w:pPr>
        <w:pStyle w:val="2"/>
        <w:rPr>
          <w:rFonts w:hint="default"/>
          <w:lang w:val="en-US" w:eastAsia="zh-CN"/>
        </w:rPr>
      </w:pPr>
    </w:p>
    <w:sectPr>
      <w:footerReference r:id="rId6"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AC1A0-C8FD-4023-8D20-11AF2B3ADA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A9A2ECF-B85F-4648-8AE6-91CFE544C2D3}"/>
  </w:font>
  <w:font w:name="方正小标宋简体">
    <w:panose1 w:val="02010600010101010101"/>
    <w:charset w:val="86"/>
    <w:family w:val="auto"/>
    <w:pitch w:val="default"/>
    <w:sig w:usb0="00000001" w:usb1="080E0000" w:usb2="00000000" w:usb3="00000000" w:csb0="00040000" w:csb1="00000000"/>
    <w:embedRegular r:id="rId3" w:fontKey="{5E139D2F-DCC7-4A83-8D1F-3AA7CEF733DE}"/>
  </w:font>
  <w:font w:name="楷体_GB2312">
    <w:altName w:val="楷体"/>
    <w:panose1 w:val="02010609030101010101"/>
    <w:charset w:val="86"/>
    <w:family w:val="auto"/>
    <w:pitch w:val="default"/>
    <w:sig w:usb0="00000000" w:usb1="00000000" w:usb2="00000000" w:usb3="00000000" w:csb0="00040000" w:csb1="00000000"/>
    <w:embedRegular r:id="rId4" w:fontKey="{12C1AE30-E2CA-4CA8-B6CF-39469F6F1844}"/>
  </w:font>
  <w:font w:name="楷体">
    <w:panose1 w:val="02010609060101010101"/>
    <w:charset w:val="86"/>
    <w:family w:val="modern"/>
    <w:pitch w:val="default"/>
    <w:sig w:usb0="800002BF" w:usb1="38CF7CFA" w:usb2="00000016" w:usb3="00000000" w:csb0="00040001" w:csb1="00000000"/>
    <w:embedRegular r:id="rId5" w:fontKey="{D14FE31E-870D-47E1-A7F2-C0F5890E6AFF}"/>
  </w:font>
  <w:font w:name="仿宋_GB2312">
    <w:panose1 w:val="02010609030101010101"/>
    <w:charset w:val="86"/>
    <w:family w:val="auto"/>
    <w:pitch w:val="default"/>
    <w:sig w:usb0="00000001" w:usb1="080E0000" w:usb2="00000000" w:usb3="00000000" w:csb0="00040000" w:csb1="00000000"/>
    <w:embedRegular r:id="rId6" w:fontKey="{C73B7872-7AFC-401D-9E0B-4A52881344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9F5F">
    <w:pPr>
      <w:spacing w:line="226" w:lineRule="exact"/>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17E0">
    <w:pPr>
      <w:spacing w:line="226" w:lineRule="exact"/>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9808">
    <w:pPr>
      <w:spacing w:line="226" w:lineRule="exact"/>
      <w:ind w:left="41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AF41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5pt;height:144pt;width:144pt;mso-position-horizontal:right;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ayECjVAAAABw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648AF41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371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v:textbox>
            </v:shape>
          </w:pict>
        </mc:Fallback>
      </mc:AlternateContent>
    </w:r>
  </w:p>
  <w:p w14:paraId="7290EB4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853EB"/>
    <w:rsid w:val="000839DD"/>
    <w:rsid w:val="000853EB"/>
    <w:rsid w:val="00204A7E"/>
    <w:rsid w:val="00227B58"/>
    <w:rsid w:val="002D00E6"/>
    <w:rsid w:val="00305DBF"/>
    <w:rsid w:val="00384E2B"/>
    <w:rsid w:val="003F460F"/>
    <w:rsid w:val="004E1B19"/>
    <w:rsid w:val="00545E2F"/>
    <w:rsid w:val="00596D75"/>
    <w:rsid w:val="005B2765"/>
    <w:rsid w:val="005D23BD"/>
    <w:rsid w:val="005E73F3"/>
    <w:rsid w:val="007A77B0"/>
    <w:rsid w:val="00866084"/>
    <w:rsid w:val="00AD75CF"/>
    <w:rsid w:val="00AE7880"/>
    <w:rsid w:val="00C52631"/>
    <w:rsid w:val="00C81A80"/>
    <w:rsid w:val="00D44CDE"/>
    <w:rsid w:val="00E15E10"/>
    <w:rsid w:val="018D1D97"/>
    <w:rsid w:val="02060AF3"/>
    <w:rsid w:val="03B77229"/>
    <w:rsid w:val="05516791"/>
    <w:rsid w:val="066606B5"/>
    <w:rsid w:val="071E4835"/>
    <w:rsid w:val="072F4F4B"/>
    <w:rsid w:val="073C7E19"/>
    <w:rsid w:val="07510C64"/>
    <w:rsid w:val="08161E48"/>
    <w:rsid w:val="0832500B"/>
    <w:rsid w:val="08CB4008"/>
    <w:rsid w:val="091B2781"/>
    <w:rsid w:val="094915EE"/>
    <w:rsid w:val="098B3F8E"/>
    <w:rsid w:val="0A05688E"/>
    <w:rsid w:val="0A0C75CE"/>
    <w:rsid w:val="0A670558"/>
    <w:rsid w:val="0ACF434F"/>
    <w:rsid w:val="0B3D71D3"/>
    <w:rsid w:val="0BB44B74"/>
    <w:rsid w:val="0BE77533"/>
    <w:rsid w:val="0C7E7DDA"/>
    <w:rsid w:val="0D646FD0"/>
    <w:rsid w:val="0DDF2AFB"/>
    <w:rsid w:val="0DDF36D1"/>
    <w:rsid w:val="0E432C8D"/>
    <w:rsid w:val="0F866576"/>
    <w:rsid w:val="0FB104C7"/>
    <w:rsid w:val="10222F73"/>
    <w:rsid w:val="10AF4A06"/>
    <w:rsid w:val="10BE2E9B"/>
    <w:rsid w:val="120B2110"/>
    <w:rsid w:val="124D44D7"/>
    <w:rsid w:val="130D1EB8"/>
    <w:rsid w:val="144813FA"/>
    <w:rsid w:val="14493D8F"/>
    <w:rsid w:val="15803D19"/>
    <w:rsid w:val="16B70AB9"/>
    <w:rsid w:val="16DF1542"/>
    <w:rsid w:val="177B7D38"/>
    <w:rsid w:val="19864814"/>
    <w:rsid w:val="19D11E91"/>
    <w:rsid w:val="19D33CEB"/>
    <w:rsid w:val="1A935399"/>
    <w:rsid w:val="1AAA18F7"/>
    <w:rsid w:val="1B44115A"/>
    <w:rsid w:val="1B943177"/>
    <w:rsid w:val="1C950CB5"/>
    <w:rsid w:val="1E0068A1"/>
    <w:rsid w:val="1E522E75"/>
    <w:rsid w:val="1E682698"/>
    <w:rsid w:val="1EAE454F"/>
    <w:rsid w:val="1EBA7398"/>
    <w:rsid w:val="1FEA695F"/>
    <w:rsid w:val="211A123F"/>
    <w:rsid w:val="219A700D"/>
    <w:rsid w:val="22237002"/>
    <w:rsid w:val="22476665"/>
    <w:rsid w:val="22813E3B"/>
    <w:rsid w:val="233F60BE"/>
    <w:rsid w:val="236C49D9"/>
    <w:rsid w:val="237D7AEA"/>
    <w:rsid w:val="23AA225C"/>
    <w:rsid w:val="23BB31E1"/>
    <w:rsid w:val="24A13553"/>
    <w:rsid w:val="26144B5C"/>
    <w:rsid w:val="265708AF"/>
    <w:rsid w:val="272F24B1"/>
    <w:rsid w:val="278247CB"/>
    <w:rsid w:val="27955067"/>
    <w:rsid w:val="2818512F"/>
    <w:rsid w:val="28D93D8C"/>
    <w:rsid w:val="295549E3"/>
    <w:rsid w:val="29E76943"/>
    <w:rsid w:val="2A9F070C"/>
    <w:rsid w:val="2C000E05"/>
    <w:rsid w:val="2DC07DFB"/>
    <w:rsid w:val="2DCE3A23"/>
    <w:rsid w:val="2E3C1B78"/>
    <w:rsid w:val="2E7D5CEC"/>
    <w:rsid w:val="2E9C43C4"/>
    <w:rsid w:val="2EA43279"/>
    <w:rsid w:val="2F2D14C0"/>
    <w:rsid w:val="30BD0622"/>
    <w:rsid w:val="32543208"/>
    <w:rsid w:val="326A2278"/>
    <w:rsid w:val="33407EE8"/>
    <w:rsid w:val="336B4691"/>
    <w:rsid w:val="33A37FA3"/>
    <w:rsid w:val="33AA1331"/>
    <w:rsid w:val="33B141A9"/>
    <w:rsid w:val="34767465"/>
    <w:rsid w:val="353F1F4D"/>
    <w:rsid w:val="36743E79"/>
    <w:rsid w:val="36F55519"/>
    <w:rsid w:val="371F5B26"/>
    <w:rsid w:val="37760883"/>
    <w:rsid w:val="38035D3B"/>
    <w:rsid w:val="38A24CCD"/>
    <w:rsid w:val="3A4A2340"/>
    <w:rsid w:val="3DC92450"/>
    <w:rsid w:val="3E235CFC"/>
    <w:rsid w:val="3FEF066F"/>
    <w:rsid w:val="40E61294"/>
    <w:rsid w:val="40E63BC5"/>
    <w:rsid w:val="4114428E"/>
    <w:rsid w:val="41275AA6"/>
    <w:rsid w:val="416F5968"/>
    <w:rsid w:val="41847666"/>
    <w:rsid w:val="41EC7ABC"/>
    <w:rsid w:val="42001C9A"/>
    <w:rsid w:val="429A6A15"/>
    <w:rsid w:val="45083F15"/>
    <w:rsid w:val="45126572"/>
    <w:rsid w:val="45665019"/>
    <w:rsid w:val="45774E6B"/>
    <w:rsid w:val="45CC28DD"/>
    <w:rsid w:val="460B6140"/>
    <w:rsid w:val="484211A1"/>
    <w:rsid w:val="4869579D"/>
    <w:rsid w:val="493479A1"/>
    <w:rsid w:val="498A5978"/>
    <w:rsid w:val="49D41069"/>
    <w:rsid w:val="4A1420C3"/>
    <w:rsid w:val="4AE4089B"/>
    <w:rsid w:val="4BB73B85"/>
    <w:rsid w:val="4C5E03DA"/>
    <w:rsid w:val="4C651E42"/>
    <w:rsid w:val="4D902EEE"/>
    <w:rsid w:val="4DC86B2C"/>
    <w:rsid w:val="4DF82637"/>
    <w:rsid w:val="4E6D0D28"/>
    <w:rsid w:val="4F4E12B3"/>
    <w:rsid w:val="4FD1326B"/>
    <w:rsid w:val="4FDC4D8D"/>
    <w:rsid w:val="501F67AB"/>
    <w:rsid w:val="50661AB8"/>
    <w:rsid w:val="51AB11E3"/>
    <w:rsid w:val="52744BA5"/>
    <w:rsid w:val="56156687"/>
    <w:rsid w:val="56BF4844"/>
    <w:rsid w:val="56F77C9D"/>
    <w:rsid w:val="58366D88"/>
    <w:rsid w:val="59F35E34"/>
    <w:rsid w:val="59F91E1B"/>
    <w:rsid w:val="5A0A227A"/>
    <w:rsid w:val="5B8E5718"/>
    <w:rsid w:val="5BE65C34"/>
    <w:rsid w:val="5C73538E"/>
    <w:rsid w:val="5D1C5A24"/>
    <w:rsid w:val="5E5B30A5"/>
    <w:rsid w:val="5EC56770"/>
    <w:rsid w:val="61580C73"/>
    <w:rsid w:val="617D3332"/>
    <w:rsid w:val="630C2BBF"/>
    <w:rsid w:val="648677CC"/>
    <w:rsid w:val="64B27796"/>
    <w:rsid w:val="659155FE"/>
    <w:rsid w:val="669E6224"/>
    <w:rsid w:val="67670434"/>
    <w:rsid w:val="67B6651B"/>
    <w:rsid w:val="68733841"/>
    <w:rsid w:val="6A42336B"/>
    <w:rsid w:val="6A7F45BF"/>
    <w:rsid w:val="6A8F1C7D"/>
    <w:rsid w:val="6A9C0CCD"/>
    <w:rsid w:val="6D3F3B91"/>
    <w:rsid w:val="6E8213AA"/>
    <w:rsid w:val="6E99076E"/>
    <w:rsid w:val="6F23376B"/>
    <w:rsid w:val="6FE6623E"/>
    <w:rsid w:val="703F2826"/>
    <w:rsid w:val="7046609A"/>
    <w:rsid w:val="713E488C"/>
    <w:rsid w:val="717C3606"/>
    <w:rsid w:val="717E2EDA"/>
    <w:rsid w:val="718460AF"/>
    <w:rsid w:val="71A70583"/>
    <w:rsid w:val="72025ED5"/>
    <w:rsid w:val="721B28C1"/>
    <w:rsid w:val="731A4E85"/>
    <w:rsid w:val="73710E72"/>
    <w:rsid w:val="73B9469D"/>
    <w:rsid w:val="73DA12B3"/>
    <w:rsid w:val="745D6DE4"/>
    <w:rsid w:val="74DD7D03"/>
    <w:rsid w:val="75A5137D"/>
    <w:rsid w:val="76E2215D"/>
    <w:rsid w:val="76E77774"/>
    <w:rsid w:val="774E7B90"/>
    <w:rsid w:val="77811976"/>
    <w:rsid w:val="77C95930"/>
    <w:rsid w:val="77D35594"/>
    <w:rsid w:val="77F064C5"/>
    <w:rsid w:val="787D038F"/>
    <w:rsid w:val="792A3948"/>
    <w:rsid w:val="799355C4"/>
    <w:rsid w:val="79EB767A"/>
    <w:rsid w:val="7A2D7B93"/>
    <w:rsid w:val="7AA5597C"/>
    <w:rsid w:val="7B9F061D"/>
    <w:rsid w:val="7E4C610E"/>
    <w:rsid w:val="7E891559"/>
    <w:rsid w:val="7EF742CC"/>
    <w:rsid w:val="7FC2297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1"/>
    <w:pPr>
      <w:ind w:left="747"/>
      <w:outlineLvl w:val="0"/>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128"/>
      <w:ind w:left="668"/>
      <w:outlineLvl w:val="1"/>
    </w:pPr>
    <w:rPr>
      <w:rFonts w:ascii="宋体" w:hAnsi="宋体" w:eastAsia="宋体" w:cs="宋体"/>
      <w:b/>
      <w:bCs/>
      <w:sz w:val="28"/>
      <w:szCs w:val="28"/>
      <w:lang w:val="zh-CN" w:eastAsia="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 Spacing1"/>
    <w:basedOn w:val="1"/>
    <w:qFormat/>
    <w:uiPriority w:val="0"/>
    <w:pPr>
      <w:widowControl w:val="0"/>
      <w:jc w:val="both"/>
    </w:pPr>
    <w:rPr>
      <w:rFonts w:ascii="Calibri" w:hAnsi="Calibri" w:eastAsia="宋体" w:cs="Times New Roman"/>
      <w:kern w:val="2"/>
      <w:sz w:val="32"/>
      <w:szCs w:val="32"/>
      <w:lang w:eastAsia="zh-CN"/>
    </w:r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First Paragraph"/>
    <w:basedOn w:val="1"/>
    <w:next w:val="6"/>
    <w:qFormat/>
    <w:uiPriority w:val="0"/>
    <w:pPr>
      <w:spacing w:before="180"/>
      <w:ind w:firstLine="480" w:firstLineChars="200"/>
    </w:pPr>
    <w:rPr>
      <w:lang w:eastAsia="zh-CN"/>
    </w:rPr>
  </w:style>
  <w:style w:type="paragraph" w:customStyle="1" w:styleId="16">
    <w:name w:val="Compact"/>
    <w:basedOn w:val="6"/>
    <w:qFormat/>
    <w:uiPriority w:val="0"/>
    <w:pPr>
      <w:spacing w:before="60" w:after="60"/>
      <w:ind w:firstLine="0" w:firstLineChars="0"/>
    </w:pPr>
  </w:style>
  <w:style w:type="table" w:customStyle="1" w:styleId="17">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f4f010b3-f4ea-4897-87c6-1aa9be7f1a39</errorID>
      <errorWord>《</errorWord>
      <group>L1_Punc</group>
      <groupName>标点问题</groupName>
      <ability>L2_Punc</ability>
      <abilityName>标点符号检查</abilityName>
      <candidateList/>
      <explain>同一形式括号套用。</explain>
      <paraID>70833DBD</paraID>
      <start>11</start>
      <end>12</end>
      <status>unmodified</status>
      <modifiedWord/>
      <trackRevisions>false</trackRevisions>
    </reviewItem>
    <reviewItem>
      <errorID>1d16f477-ad6b-4c72-95d2-458153786838</errorID>
      <errorWord>》</errorWord>
      <group>L1_Punc</group>
      <groupName>标点问题</groupName>
      <ability>L2_Punc</ability>
      <abilityName>标点符号检查</abilityName>
      <candidateList/>
      <explain>同一形式括号套用。</explain>
      <paraID>70833DBD</paraID>
      <start>32</start>
      <end>33</end>
      <status>unmodified</status>
      <modifiedWord/>
      <trackRevisions>false</trackRevisions>
    </reviewItem>
    <reviewItem>
      <errorID>7bcc8fb7-eea8-4a3b-9200-cebfb2844c9f</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 9A60F1A</paraID>
      <start>36</start>
      <end>42</end>
      <status>unmodified</status>
      <modifiedWord/>
      <trackRevisions>false</trackRevisions>
    </reviewItem>
    <reviewItem>
      <errorID>0823b038-b28f-4233-9e15-64ebe7fb57a9</errorID>
      <errorWord>法律、法规</errorWord>
      <group>L1_Word</group>
      <groupName>字词问题</groupName>
      <ability>L2_Typo</ability>
      <abilityName>字词错误</abilityName>
      <candidateList>
        <item>法律法规</item>
      </candidateList>
      <explain/>
      <paraID>527A5710</paraID>
      <start>34</start>
      <end>39</end>
      <status>unmodified</status>
      <modifiedWord/>
      <trackRevisions>false</trackRevisions>
    </reviewItem>
    <reviewItem>
      <errorID>7b5374af-5a7c-4e40-9408-949755a7b3c0</errorID>
      <errorWord>，</errorWord>
      <group>L1_Grammar</group>
      <groupName>语法问题</groupName>
      <ability>L2_Missing</ability>
      <abilityName>成分残缺</abilityName>
      <candidateList>
        <item>接收工作，</item>
      </candidateList>
      <explain>句子中可能存在主谓宾、修饰语或者必要的词语残缺。</explain>
      <paraID>36AE6ABB</paraID>
      <start>25</start>
      <end>26</end>
      <status>unmodified</status>
      <modifiedWord/>
      <trackRevisions>false</trackRevisions>
    </reviewItem>
    <reviewItem>
      <errorID>1eec1f82-c0ac-413a-a5d3-502513c3f2a7</errorID>
      <errorWord>提高</errorWord>
      <group>L1_Grammar</group>
      <groupName>语法问题</groupName>
      <ability>L2_Grammar</ability>
      <abilityName>语法错误</abilityName>
      <candidateList>
        <item>增强</item>
      </candidateList>
      <explain>“提高～意识”搭配不当，建议修改为“增强～意识”。</explain>
      <paraID>15D767DF</paraID>
      <start>37</start>
      <end>39</end>
      <status>unmodified</status>
      <modifiedWord/>
      <trackRevisions>false</trackRevisions>
    </reviewItem>
    <reviewItem>
      <errorID>79fd4ad8-8fd5-4b6c-84be-bc056d5f39f4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22844CF</paraID>
      <start>28</start>
      <end>29</end>
      <status>unmodified</status>
      <modifiedWord/>
      <trackRevisions>false</trackRevisions>
    </reviewItem>
    <reviewItem>
      <errorID>b248e5a4-c25e-498b-9672-570eb71f939f</errorID>
      <errorWord>详实</errorWord>
      <group>L1_Word</group>
      <groupName>字词问题</groupName>
      <ability>L2_Typo</ability>
      <abilityName>字词错误</abilityName>
      <candidateList>
        <item>翔实</item>
      </candidateList>
      <explain/>
      <paraID>29D2845A</paraID>
      <start>18</start>
      <end>20</end>
      <status>unmodified</status>
      <modifiedWord/>
      <trackRevisions>false</trackRevisions>
    </reviewItem>
    <reviewItem>
      <errorID>3299d5bd-ef2e-4c88-9d22-ce1e38bb5b6b</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3742CCBA</paraID>
      <start>12</start>
      <end>13</end>
      <status>unmodified</status>
      <modifiedWord/>
      <trackRevisions>false</trackRevisions>
    </reviewItem>
    <reviewItem>
      <errorID>6b031d47-329c-4935-89c2-c736d23a9517</errorID>
      <errorWord>旱灾区</errorWord>
      <group>L1_Word</group>
      <groupName>字词问题</groupName>
      <ability>L2_Typo</ability>
      <abilityName>字词错误</abilityName>
      <candidateList>
        <item>灾区</item>
      </candidateList>
      <explain/>
      <paraID>33AA6D77</paraID>
      <start>13</start>
      <end>16</end>
      <status>unmodified</status>
      <modifiedWord/>
      <trackRevisions>false</trackRevisions>
    </reviewItem>
    <reviewItem>
      <errorID>ee36f24f-673f-47ee-b506-8da0b9745892</errorID>
      <errorWord>好</errorWord>
      <group>L1_Word</group>
      <groupName>字词问题</groupName>
      <ability>L2_Typo</ability>
      <abilityName>字词错误</abilityName>
      <candidateList>
        <item>好抗</item>
      </candidateList>
      <explain/>
      <paraID>3680CE5B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6d8be-6596-4e1d-99ed-f6dff7f0b4cd}">
  <ds:schemaRefs/>
</ds:datastoreItem>
</file>

<file path=docProps/app.xml><?xml version="1.0" encoding="utf-8"?>
<Properties xmlns="http://schemas.openxmlformats.org/officeDocument/2006/extended-properties" xmlns:vt="http://schemas.openxmlformats.org/officeDocument/2006/docPropsVTypes">
  <Template>Normal</Template>
  <Pages>40</Pages>
  <Words>13247</Words>
  <Characters>13446</Characters>
  <Lines>431</Lines>
  <Paragraphs>429</Paragraphs>
  <TotalTime>8</TotalTime>
  <ScaleCrop>false</ScaleCrop>
  <LinksUpToDate>false</LinksUpToDate>
  <CharactersWithSpaces>13593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2023-07-17T14:19:00Z</dcterms:created>
  <dc:creator>28-3</dc:creator>
  <cp:lastModifiedBy>A</cp:lastModifiedBy>
  <dcterms:modified xsi:type="dcterms:W3CDTF">2026-02-02T07:12:03Z</dcterms:modified>
  <dc:title>全省应急管理工作会议各地交流材料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2025-09-17T09:08:47Z</vt:filetime>
  </property>
  <property fmtid="{D5CDD505-2E9C-101B-9397-08002B2CF9AE}" pid="4" name="KSOProductBuildVer">
    <vt:lpwstr>2052-12.1.0.24657</vt:lpwstr>
  </property>
  <property fmtid="{D5CDD505-2E9C-101B-9397-08002B2CF9AE}" pid="5" name="ICV">
    <vt:lpwstr>ACEB44C7C2064BA3A59E5EDCE8C3638B_13</vt:lpwstr>
  </property>
  <property fmtid="{D5CDD505-2E9C-101B-9397-08002B2CF9AE}" pid="6" name="KSOTemplateDocerSaveRecord">
    <vt:lpwstr>eyJoZGlkIjoiMGQ0ODlkZjk1YWVhMmM1YjE4NTliNDE5NmJiMTdmNGMiLCJ1c2VySWQiOiIyNTc2OTIxMzcifQ==</vt:lpwstr>
  </property>
</Properties>
</file>