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25810">
      <w:pPr>
        <w:pStyle w:val="4"/>
        <w:widowControl w:val="0"/>
        <w:spacing w:line="247" w:lineRule="auto"/>
        <w:jc w:val="both"/>
      </w:pPr>
    </w:p>
    <w:p w14:paraId="29E949F0">
      <w:pPr>
        <w:pStyle w:val="4"/>
        <w:widowControl w:val="0"/>
        <w:spacing w:line="247" w:lineRule="auto"/>
        <w:jc w:val="both"/>
      </w:pPr>
    </w:p>
    <w:p w14:paraId="75C633C8">
      <w:pPr>
        <w:pStyle w:val="4"/>
        <w:widowControl w:val="0"/>
        <w:spacing w:line="247" w:lineRule="auto"/>
        <w:jc w:val="both"/>
      </w:pPr>
    </w:p>
    <w:p w14:paraId="4FBD7751">
      <w:pPr>
        <w:pStyle w:val="4"/>
        <w:widowControl w:val="0"/>
        <w:spacing w:line="247" w:lineRule="auto"/>
        <w:jc w:val="both"/>
      </w:pPr>
    </w:p>
    <w:p w14:paraId="32973B6A">
      <w:pPr>
        <w:pStyle w:val="4"/>
        <w:widowControl w:val="0"/>
        <w:spacing w:line="247" w:lineRule="auto"/>
        <w:jc w:val="both"/>
      </w:pPr>
    </w:p>
    <w:p w14:paraId="6ECF14F1">
      <w:pPr>
        <w:pStyle w:val="4"/>
        <w:widowControl w:val="0"/>
        <w:spacing w:line="247" w:lineRule="auto"/>
        <w:jc w:val="both"/>
      </w:pPr>
    </w:p>
    <w:p w14:paraId="19634DAD">
      <w:pPr>
        <w:pStyle w:val="4"/>
        <w:widowControl w:val="0"/>
        <w:spacing w:line="247" w:lineRule="auto"/>
        <w:jc w:val="both"/>
      </w:pPr>
    </w:p>
    <w:p w14:paraId="11A79D86">
      <w:pPr>
        <w:pStyle w:val="4"/>
        <w:widowControl w:val="0"/>
        <w:spacing w:line="247" w:lineRule="auto"/>
        <w:jc w:val="both"/>
      </w:pPr>
    </w:p>
    <w:p w14:paraId="6652CF94">
      <w:pPr>
        <w:pStyle w:val="4"/>
        <w:widowControl w:val="0"/>
        <w:spacing w:line="247" w:lineRule="auto"/>
        <w:jc w:val="both"/>
      </w:pPr>
    </w:p>
    <w:p w14:paraId="11F25FEC">
      <w:pPr>
        <w:pStyle w:val="4"/>
        <w:widowControl w:val="0"/>
        <w:spacing w:line="247" w:lineRule="auto"/>
        <w:jc w:val="both"/>
      </w:pPr>
    </w:p>
    <w:p w14:paraId="1A569D94">
      <w:pPr>
        <w:pStyle w:val="4"/>
        <w:widowControl w:val="0"/>
        <w:spacing w:line="247" w:lineRule="auto"/>
        <w:jc w:val="both"/>
      </w:pPr>
    </w:p>
    <w:p w14:paraId="07E7FD21">
      <w:pPr>
        <w:pStyle w:val="4"/>
        <w:widowControl w:val="0"/>
        <w:spacing w:line="247" w:lineRule="auto"/>
        <w:jc w:val="both"/>
      </w:pPr>
    </w:p>
    <w:p w14:paraId="69E67D9A">
      <w:pPr>
        <w:pStyle w:val="4"/>
        <w:widowControl w:val="0"/>
        <w:spacing w:line="247" w:lineRule="auto"/>
        <w:jc w:val="both"/>
      </w:pPr>
    </w:p>
    <w:p w14:paraId="4A6D7A00">
      <w:pPr>
        <w:pStyle w:val="4"/>
        <w:widowControl w:val="0"/>
        <w:spacing w:line="247" w:lineRule="auto"/>
        <w:jc w:val="both"/>
      </w:pPr>
    </w:p>
    <w:p w14:paraId="64EE31E8">
      <w:pPr>
        <w:pStyle w:val="4"/>
        <w:widowControl w:val="0"/>
        <w:spacing w:line="247" w:lineRule="auto"/>
        <w:jc w:val="both"/>
      </w:pPr>
    </w:p>
    <w:p w14:paraId="20FD7E4E">
      <w:pPr>
        <w:pStyle w:val="4"/>
        <w:widowControl w:val="0"/>
        <w:spacing w:line="247" w:lineRule="auto"/>
        <w:jc w:val="both"/>
      </w:pPr>
    </w:p>
    <w:p w14:paraId="37E334D4">
      <w:pPr>
        <w:pStyle w:val="4"/>
        <w:widowControl w:val="0"/>
        <w:spacing w:line="247" w:lineRule="auto"/>
        <w:jc w:val="both"/>
      </w:pPr>
    </w:p>
    <w:p w14:paraId="226E6F3A">
      <w:pPr>
        <w:pStyle w:val="4"/>
        <w:widowControl w:val="0"/>
        <w:spacing w:line="247" w:lineRule="auto"/>
        <w:jc w:val="both"/>
      </w:pPr>
    </w:p>
    <w:p w14:paraId="01ADBF1E">
      <w:pPr>
        <w:pStyle w:val="4"/>
        <w:widowControl w:val="0"/>
        <w:spacing w:line="247" w:lineRule="auto"/>
        <w:jc w:val="both"/>
      </w:pPr>
    </w:p>
    <w:p w14:paraId="16F7CCC2">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pacing w:val="4"/>
          <w:sz w:val="44"/>
          <w:szCs w:val="44"/>
          <w:lang w:val="zh-CN" w:eastAsia="zh-CN"/>
        </w:rPr>
      </w:pPr>
      <w:bookmarkStart w:id="0" w:name="_Toc24411"/>
      <w:r>
        <w:rPr>
          <w:rFonts w:hint="eastAsia" w:ascii="方正小标宋简体" w:hAnsi="方正小标宋简体" w:eastAsia="方正小标宋简体" w:cs="方正小标宋简体"/>
          <w:b w:val="0"/>
          <w:bCs w:val="0"/>
          <w:spacing w:val="4"/>
          <w:sz w:val="44"/>
          <w:szCs w:val="44"/>
          <w:lang w:val="zh-CN" w:eastAsia="zh-CN"/>
        </w:rPr>
        <w:t>佳木斯市向阳区</w:t>
      </w:r>
      <w:bookmarkEnd w:id="0"/>
      <w:r>
        <w:rPr>
          <w:rFonts w:hint="eastAsia" w:ascii="方正小标宋简体" w:hAnsi="方正小标宋简体" w:eastAsia="方正小标宋简体" w:cs="方正小标宋简体"/>
          <w:b w:val="0"/>
          <w:bCs w:val="0"/>
          <w:spacing w:val="4"/>
          <w:sz w:val="44"/>
          <w:szCs w:val="44"/>
          <w:lang w:val="zh-CN" w:eastAsia="zh-CN"/>
        </w:rPr>
        <w:t>地震灾害应急预案</w:t>
      </w:r>
    </w:p>
    <w:p w14:paraId="3B76ECD0">
      <w:pPr>
        <w:widowControl w:val="0"/>
        <w:kinsoku/>
        <w:autoSpaceDE/>
        <w:autoSpaceDN/>
        <w:adjustRightInd/>
        <w:snapToGrid/>
        <w:jc w:val="both"/>
        <w:textAlignment w:val="auto"/>
        <w:rPr>
          <w:rFonts w:hint="eastAsia" w:asciiTheme="majorEastAsia" w:hAnsiTheme="majorEastAsia" w:eastAsiaTheme="majorEastAsia" w:cstheme="majorEastAsia"/>
          <w:b/>
          <w:bCs/>
          <w:snapToGrid/>
          <w:kern w:val="2"/>
          <w:sz w:val="72"/>
          <w:szCs w:val="72"/>
          <w:lang w:eastAsia="zh-CN"/>
        </w:rPr>
      </w:pPr>
    </w:p>
    <w:p w14:paraId="5C67B312">
      <w:pPr>
        <w:pStyle w:val="4"/>
        <w:widowControl w:val="0"/>
        <w:spacing w:line="246" w:lineRule="auto"/>
        <w:jc w:val="both"/>
        <w:rPr>
          <w:lang w:eastAsia="zh-CN"/>
        </w:rPr>
      </w:pPr>
    </w:p>
    <w:p w14:paraId="114D9ED8">
      <w:pPr>
        <w:pStyle w:val="4"/>
        <w:widowControl w:val="0"/>
        <w:spacing w:line="247" w:lineRule="auto"/>
        <w:jc w:val="both"/>
        <w:rPr>
          <w:lang w:eastAsia="zh-CN"/>
        </w:rPr>
      </w:pPr>
    </w:p>
    <w:p w14:paraId="69D38E1F">
      <w:pPr>
        <w:pStyle w:val="4"/>
        <w:widowControl w:val="0"/>
        <w:spacing w:line="247" w:lineRule="auto"/>
        <w:jc w:val="both"/>
        <w:rPr>
          <w:lang w:eastAsia="zh-CN"/>
        </w:rPr>
      </w:pPr>
    </w:p>
    <w:p w14:paraId="74002A4D">
      <w:pPr>
        <w:pStyle w:val="4"/>
        <w:widowControl w:val="0"/>
        <w:spacing w:line="247" w:lineRule="auto"/>
        <w:jc w:val="both"/>
        <w:rPr>
          <w:lang w:eastAsia="zh-CN"/>
        </w:rPr>
      </w:pPr>
    </w:p>
    <w:p w14:paraId="4563D385">
      <w:pPr>
        <w:pStyle w:val="4"/>
        <w:widowControl w:val="0"/>
        <w:spacing w:line="247" w:lineRule="auto"/>
        <w:jc w:val="both"/>
        <w:rPr>
          <w:lang w:eastAsia="zh-CN"/>
        </w:rPr>
      </w:pPr>
    </w:p>
    <w:p w14:paraId="21B65F6C">
      <w:pPr>
        <w:pStyle w:val="4"/>
        <w:widowControl w:val="0"/>
        <w:spacing w:line="247" w:lineRule="auto"/>
        <w:jc w:val="both"/>
        <w:rPr>
          <w:lang w:eastAsia="zh-CN"/>
        </w:rPr>
      </w:pPr>
    </w:p>
    <w:p w14:paraId="6C777E5C">
      <w:pPr>
        <w:pStyle w:val="4"/>
        <w:widowControl w:val="0"/>
        <w:spacing w:line="247" w:lineRule="auto"/>
        <w:jc w:val="both"/>
        <w:rPr>
          <w:lang w:eastAsia="zh-CN"/>
        </w:rPr>
      </w:pPr>
    </w:p>
    <w:p w14:paraId="3F377E3E">
      <w:pPr>
        <w:pStyle w:val="4"/>
        <w:widowControl w:val="0"/>
        <w:spacing w:line="247" w:lineRule="auto"/>
        <w:jc w:val="both"/>
        <w:rPr>
          <w:lang w:eastAsia="zh-CN"/>
        </w:rPr>
      </w:pPr>
    </w:p>
    <w:p w14:paraId="4EF2DCE0">
      <w:pPr>
        <w:pStyle w:val="4"/>
        <w:widowControl w:val="0"/>
        <w:spacing w:line="247" w:lineRule="auto"/>
        <w:jc w:val="both"/>
        <w:rPr>
          <w:lang w:eastAsia="zh-CN"/>
        </w:rPr>
      </w:pPr>
    </w:p>
    <w:p w14:paraId="56105ABC">
      <w:pPr>
        <w:pStyle w:val="4"/>
        <w:widowControl w:val="0"/>
        <w:spacing w:line="247" w:lineRule="auto"/>
        <w:jc w:val="both"/>
        <w:rPr>
          <w:lang w:eastAsia="zh-CN"/>
        </w:rPr>
      </w:pPr>
    </w:p>
    <w:p w14:paraId="4C75C493">
      <w:pPr>
        <w:pStyle w:val="4"/>
        <w:widowControl w:val="0"/>
        <w:spacing w:line="247" w:lineRule="auto"/>
        <w:jc w:val="both"/>
        <w:rPr>
          <w:lang w:eastAsia="zh-CN"/>
        </w:rPr>
      </w:pPr>
    </w:p>
    <w:p w14:paraId="5D0312EB">
      <w:pPr>
        <w:pStyle w:val="4"/>
        <w:widowControl w:val="0"/>
        <w:spacing w:line="247" w:lineRule="auto"/>
        <w:jc w:val="both"/>
        <w:rPr>
          <w:lang w:eastAsia="zh-CN"/>
        </w:rPr>
      </w:pPr>
    </w:p>
    <w:p w14:paraId="59F9A134">
      <w:pPr>
        <w:pStyle w:val="4"/>
        <w:widowControl w:val="0"/>
        <w:spacing w:line="247" w:lineRule="auto"/>
        <w:jc w:val="both"/>
        <w:rPr>
          <w:lang w:eastAsia="zh-CN"/>
        </w:rPr>
      </w:pPr>
    </w:p>
    <w:p w14:paraId="58AA2DF1">
      <w:pPr>
        <w:pStyle w:val="4"/>
        <w:widowControl w:val="0"/>
        <w:spacing w:line="247" w:lineRule="auto"/>
        <w:jc w:val="both"/>
        <w:rPr>
          <w:lang w:eastAsia="zh-CN"/>
        </w:rPr>
      </w:pPr>
    </w:p>
    <w:p w14:paraId="13B15F87">
      <w:pPr>
        <w:pStyle w:val="4"/>
        <w:widowControl w:val="0"/>
        <w:spacing w:line="247" w:lineRule="auto"/>
        <w:jc w:val="both"/>
        <w:rPr>
          <w:lang w:eastAsia="zh-CN"/>
        </w:rPr>
      </w:pPr>
    </w:p>
    <w:p w14:paraId="16AA83E1">
      <w:pPr>
        <w:pStyle w:val="4"/>
        <w:widowControl w:val="0"/>
        <w:spacing w:line="247" w:lineRule="auto"/>
        <w:jc w:val="both"/>
        <w:rPr>
          <w:lang w:eastAsia="zh-CN"/>
        </w:rPr>
      </w:pPr>
    </w:p>
    <w:p w14:paraId="26920D4E">
      <w:pPr>
        <w:pStyle w:val="4"/>
        <w:widowControl w:val="0"/>
        <w:spacing w:line="247" w:lineRule="auto"/>
        <w:jc w:val="both"/>
        <w:rPr>
          <w:lang w:eastAsia="zh-CN"/>
        </w:rPr>
      </w:pPr>
    </w:p>
    <w:p w14:paraId="4C153683">
      <w:pPr>
        <w:pStyle w:val="4"/>
        <w:widowControl w:val="0"/>
        <w:spacing w:line="247" w:lineRule="auto"/>
        <w:jc w:val="both"/>
        <w:rPr>
          <w:lang w:eastAsia="zh-CN"/>
        </w:rPr>
      </w:pPr>
    </w:p>
    <w:p w14:paraId="64D91CE0">
      <w:pPr>
        <w:pStyle w:val="4"/>
        <w:widowControl w:val="0"/>
        <w:spacing w:line="247" w:lineRule="auto"/>
        <w:jc w:val="both"/>
        <w:rPr>
          <w:lang w:eastAsia="zh-CN"/>
        </w:rPr>
      </w:pPr>
    </w:p>
    <w:p w14:paraId="78359CAE">
      <w:pPr>
        <w:pStyle w:val="4"/>
        <w:widowControl w:val="0"/>
        <w:spacing w:line="247" w:lineRule="auto"/>
        <w:jc w:val="both"/>
        <w:rPr>
          <w:lang w:eastAsia="zh-CN"/>
        </w:rPr>
      </w:pPr>
    </w:p>
    <w:p w14:paraId="3BC8C136">
      <w:pPr>
        <w:pStyle w:val="4"/>
        <w:widowControl w:val="0"/>
        <w:spacing w:line="247" w:lineRule="auto"/>
        <w:jc w:val="both"/>
        <w:rPr>
          <w:lang w:eastAsia="zh-CN"/>
        </w:rPr>
      </w:pPr>
    </w:p>
    <w:p w14:paraId="1FA91427">
      <w:pPr>
        <w:pStyle w:val="4"/>
        <w:widowControl w:val="0"/>
        <w:spacing w:line="247" w:lineRule="auto"/>
        <w:jc w:val="both"/>
        <w:rPr>
          <w:lang w:eastAsia="zh-CN"/>
        </w:rPr>
      </w:pPr>
    </w:p>
    <w:p w14:paraId="3476E659">
      <w:pPr>
        <w:pStyle w:val="4"/>
        <w:widowControl w:val="0"/>
        <w:spacing w:line="247" w:lineRule="auto"/>
        <w:jc w:val="both"/>
        <w:rPr>
          <w:lang w:eastAsia="zh-CN"/>
        </w:rPr>
      </w:pPr>
    </w:p>
    <w:p w14:paraId="506FB76D">
      <w:pPr>
        <w:pStyle w:val="4"/>
        <w:widowControl w:val="0"/>
        <w:spacing w:line="247" w:lineRule="auto"/>
        <w:jc w:val="both"/>
        <w:rPr>
          <w:lang w:eastAsia="zh-CN"/>
        </w:rPr>
      </w:pPr>
    </w:p>
    <w:p w14:paraId="68DCBB4B">
      <w:pPr>
        <w:pStyle w:val="4"/>
        <w:widowControl w:val="0"/>
        <w:spacing w:line="247" w:lineRule="auto"/>
        <w:jc w:val="both"/>
        <w:rPr>
          <w:lang w:eastAsia="zh-CN"/>
        </w:rPr>
      </w:pPr>
    </w:p>
    <w:p w14:paraId="770A1F42">
      <w:pPr>
        <w:pStyle w:val="4"/>
        <w:widowControl w:val="0"/>
        <w:spacing w:line="247" w:lineRule="auto"/>
        <w:jc w:val="both"/>
        <w:rPr>
          <w:lang w:eastAsia="zh-CN"/>
        </w:rPr>
      </w:pPr>
    </w:p>
    <w:p w14:paraId="5A5E2036">
      <w:pPr>
        <w:widowControl w:val="0"/>
        <w:jc w:val="both"/>
        <w:rPr>
          <w:rFonts w:hint="eastAsia" w:ascii="宋体" w:hAnsi="宋体" w:eastAsia="宋体"/>
          <w:lang w:eastAsia="zh-CN"/>
        </w:rPr>
        <w:sectPr>
          <w:footerReference r:id="rId3" w:type="default"/>
          <w:pgSz w:w="11906" w:h="16839"/>
          <w:pgMar w:top="1431" w:right="1585" w:bottom="1355" w:left="1600" w:header="0" w:footer="1119" w:gutter="0"/>
          <w:pgNumType w:fmt="decimal" w:start="1"/>
          <w:cols w:space="720" w:num="1"/>
        </w:sectPr>
      </w:pPr>
    </w:p>
    <w:sdt>
      <w:sdtPr>
        <w:rPr>
          <w:rFonts w:hint="eastAsia" w:ascii="方正小标宋简体" w:hAnsi="方正小标宋简体" w:eastAsia="方正小标宋简体" w:cs="方正小标宋简体"/>
          <w:sz w:val="32"/>
          <w:szCs w:val="32"/>
        </w:rPr>
        <w:id w:val="147473089"/>
        <w15:color w:val="DBDBDB"/>
        <w:docPartObj>
          <w:docPartGallery w:val="Table of Contents"/>
          <w:docPartUnique/>
        </w:docPartObj>
      </w:sdtPr>
      <w:sdtEndPr>
        <w:rPr>
          <w:rFonts w:hint="eastAsia" w:ascii="宋体" w:hAnsi="宋体" w:eastAsia="宋体" w:cs="方正小标宋简体"/>
          <w:sz w:val="32"/>
          <w:szCs w:val="32"/>
        </w:rPr>
      </w:sdtEndPr>
      <w:sdtContent>
        <w:p w14:paraId="68068D8F">
          <w:pPr>
            <w:jc w:val="center"/>
            <w:rPr>
              <w:rFonts w:hint="eastAsia" w:ascii="方正小标宋简体" w:hAnsi="方正小标宋简体" w:eastAsia="方正小标宋简体" w:cs="方正小标宋简体"/>
              <w:sz w:val="32"/>
              <w:szCs w:val="32"/>
            </w:rPr>
          </w:pPr>
          <w:r>
            <w:rPr>
              <w:rFonts w:hint="eastAsia" w:ascii="宋体" w:hAnsi="宋体" w:eastAsia="宋体" w:cs="宋体"/>
              <w:sz w:val="32"/>
              <w:szCs w:val="32"/>
            </w:rPr>
            <w:t>目录</w:t>
          </w:r>
        </w:p>
        <w:p w14:paraId="46EFAC4D">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TOC \o "1-2" \h \u </w:instrText>
          </w:r>
          <w:r>
            <w:rPr>
              <w:rFonts w:hint="eastAsia" w:ascii="楷体_GB2312" w:hAnsi="楷体_GB2312" w:eastAsia="楷体_GB2312" w:cs="楷体_GB2312"/>
              <w:sz w:val="28"/>
              <w:szCs w:val="28"/>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_Toc13822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_Toc13822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7E1F04">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_Toc572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_Toc572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E0EAE1B">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_Toc10209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_Toc10209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928E202">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_Toc20805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_Toc20805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93E6C54">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_Toc6612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二、响应机制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_Toc6612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BCD40B6">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_Toc30435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（一）地震灾害分级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_Toc30435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967834">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_Toc27830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（二）分级响应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_Toc27830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1E29EC">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_Toc4268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三、指挥体系及职责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_Toc4268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B228C29">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_Toc20268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（一）抗震救灾指挥部组成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_Toc20268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A9FA00">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_Toc9330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（二）抗震救灾指挥部及指挥部办公室职责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_Toc9330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3B40B2">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_Toc637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（三）抗震救灾指挥部成员单位职责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_Toc637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6F65D5D">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_Toc24118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（四）抗震救灾工作组组成及职责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_Toc24118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C34EB47">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_Toc31536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四、风险管控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_Toc31536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22E47E9">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_Toc7873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65FAC9A">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_Toc25539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_Toc25539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E5512E7">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_Toc26636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_Toc26636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C4392C2">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_Toc31221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五、信息报送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_Toc31221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B321067">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_Toc24027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（一）震情速报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_Toc24027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977908">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_Toc17270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（二）灾情报告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_Toc17270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ABFABD">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_Toc1077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（三）信息发布和报道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_Toc1077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0D956B4">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_Toc15606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六、应急响应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_Toc15606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9886F18">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_Toc29348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（一）指挥机构成立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_Toc29348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AC84B9">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_Toc32503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（二）四级应急响应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_Toc32503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4B4E90">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_Toc10844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（三）三级应急响应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_Toc10844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DC9613F">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_Toc28098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（四）一级、二级应急响应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_Toc28098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EF31A35">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_Toc28351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（五）指挥和协调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_Toc28351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9145212">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_Toc30320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（六）社会力量动员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_Toc30320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716CE3B">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_Toc15060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（七）新闻报道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_Toc15060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B94B69">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_Toc10481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（八）应急结束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_Toc10481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50245DD">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_Toc942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（九）善后处置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_Toc942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0CF68F">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_Toc16232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（十）应急响应调查与总结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_Toc16232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1103D9">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_Toc14041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七、恢复重建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_Toc14041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E68D6C">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_Toc25948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八、应急保障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_Toc25948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20EC77">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_Toc7483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（一）队伍保障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_Toc7483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6E6154E">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_Toc26004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（二）物资与资金保障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_Toc26004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AA9A31">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_Toc19993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（三）避难场所保障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_Toc19993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3DFEEAF">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_Toc23438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（四）基础设施保障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_Toc23438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FCD32B">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_Toc31511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（五）宣传、培训与演练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_Toc31511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DDB1E2">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_Toc11760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九、其他地震事件应对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_Toc11760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17CFBA">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_Toc25971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（一）地震谣传事件应对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_Toc25971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E916CBF">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_Toc373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（二）有感地震应对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_Toc373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CFCF1E">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_Toc3522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（三）应对毗邻行政区地震灾害事件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_Toc3522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8E0C311">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_Toc4111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_Toc4111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E9A2581">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_Toc31486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（一）预案编制及备案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_Toc31486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F9A2A8">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_Toc28253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（二）监督检查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_Toc28253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E74A5EB">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_Toc6826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（三）责任和奖惩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_Toc6826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21FABC3">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_Toc22959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（四）预案修订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_Toc22959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698810">
          <w:pPr>
            <w:pStyle w:val="8"/>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_Toc2893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（五）实施时间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2E2470">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_Toc15136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十一、附件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_Toc15136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A187D3">
          <w:pPr>
            <w:pStyle w:val="7"/>
            <w:keepNext w:val="0"/>
            <w:keepLines w:val="0"/>
            <w:pageBreakBefore w:val="0"/>
            <w:tabs>
              <w:tab w:val="right" w:leader="dot" w:pos="8300"/>
            </w:tabs>
            <w:kinsoku w:val="0"/>
            <w:wordWrap/>
            <w:overflowPunct/>
            <w:topLinePunct w:val="0"/>
            <w:autoSpaceDE w:val="0"/>
            <w:autoSpaceDN w:val="0"/>
            <w:bidi w:val="0"/>
            <w:adjustRightInd w:val="0"/>
            <w:snapToGrid w:val="0"/>
            <w:spacing w:line="560" w:lineRule="exact"/>
            <w:ind w:firstLine="320" w:firstLineChars="1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_Toc27543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val="en-US" w:eastAsia="zh-CN"/>
            </w:rPr>
            <w:t xml:space="preserve">附件 </w:t>
          </w:r>
          <w:r>
            <w:rPr>
              <w:rFonts w:hint="eastAsia" w:ascii="仿宋" w:hAnsi="仿宋" w:eastAsia="仿宋" w:cs="仿宋"/>
              <w:bCs w:val="0"/>
              <w:snapToGrid w:val="0"/>
              <w:spacing w:val="0"/>
              <w:sz w:val="32"/>
              <w:szCs w:val="32"/>
              <w:lang w:val="en-US" w:eastAsia="zh-CN" w:bidi="ar-SA"/>
            </w:rPr>
            <w:t>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_Toc27543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F21FEB">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pPr>
          <w:r>
            <w:rPr>
              <w:rFonts w:hint="eastAsia" w:ascii="楷体_GB2312" w:hAnsi="楷体_GB2312" w:eastAsia="楷体_GB2312" w:cs="楷体_GB2312"/>
              <w:szCs w:val="28"/>
            </w:rPr>
            <w:fldChar w:fldCharType="end"/>
          </w:r>
        </w:p>
      </w:sdtContent>
    </w:sdt>
    <w:p w14:paraId="5EBF4E10">
      <w:pPr>
        <w:widowControl w:val="0"/>
        <w:spacing w:line="560" w:lineRule="exact"/>
        <w:ind w:firstLine="616" w:firstLineChars="200"/>
        <w:jc w:val="both"/>
        <w:outlineLvl w:val="0"/>
        <w:rPr>
          <w:rFonts w:hint="eastAsia" w:ascii="黑体" w:hAnsi="黑体" w:eastAsia="黑体" w:cs="黑体"/>
          <w:spacing w:val="-6"/>
          <w:sz w:val="32"/>
          <w:szCs w:val="32"/>
          <w:lang w:eastAsia="zh-CN"/>
        </w:rPr>
        <w:sectPr>
          <w:footerReference r:id="rId4" w:type="default"/>
          <w:pgSz w:w="11906" w:h="16839"/>
          <w:pgMar w:top="1440" w:right="1803" w:bottom="1440" w:left="1803" w:header="0" w:footer="1117" w:gutter="0"/>
          <w:pgNumType w:fmt="decimal" w:start="1"/>
          <w:cols w:space="0" w:num="1"/>
          <w:rtlGutter w:val="0"/>
          <w:docGrid w:linePitch="0" w:charSpace="0"/>
        </w:sectPr>
      </w:pPr>
    </w:p>
    <w:p w14:paraId="0AF59E3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宋体" w:hAnsi="宋体" w:eastAsia="宋体" w:cs="宋体"/>
          <w:color w:val="auto"/>
          <w:spacing w:val="0"/>
          <w:sz w:val="32"/>
          <w:szCs w:val="32"/>
          <w:lang w:eastAsia="zh-CN"/>
        </w:rPr>
      </w:pPr>
      <w:bookmarkStart w:id="1" w:name="_Toc13822"/>
      <w:bookmarkStart w:id="56" w:name="_GoBack"/>
      <w:r>
        <w:rPr>
          <w:rFonts w:hint="eastAsia" w:ascii="黑体" w:hAnsi="黑体" w:eastAsia="黑体" w:cs="黑体"/>
          <w:color w:val="auto"/>
          <w:spacing w:val="0"/>
          <w:sz w:val="32"/>
          <w:szCs w:val="32"/>
          <w:lang w:eastAsia="zh-CN"/>
        </w:rPr>
        <w:t>一、总则</w:t>
      </w:r>
      <w:bookmarkEnd w:id="1"/>
    </w:p>
    <w:p w14:paraId="0BC4601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 w:name="_Toc572"/>
      <w:r>
        <w:rPr>
          <w:rFonts w:hint="eastAsia" w:ascii="楷体" w:hAnsi="楷体" w:eastAsia="楷体" w:cs="楷体"/>
          <w:b w:val="0"/>
          <w:bCs w:val="0"/>
          <w:color w:val="auto"/>
          <w:spacing w:val="0"/>
          <w:sz w:val="32"/>
          <w:szCs w:val="32"/>
          <w:lang w:eastAsia="zh-CN"/>
        </w:rPr>
        <w:t>（一）编制目的</w:t>
      </w:r>
      <w:bookmarkEnd w:id="2"/>
    </w:p>
    <w:p w14:paraId="07A7AC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为依法建立健全向阳区高效有序、科学规范的地震应急体制和机制，提高全区地震应急处置能力，最大程度减少人员伤亡和经济损失，快速恢复社会秩序，结合向阳区实际，特制定本预案。</w:t>
      </w:r>
    </w:p>
    <w:p w14:paraId="468D8E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 w:name="_Toc10209"/>
      <w:r>
        <w:rPr>
          <w:rFonts w:hint="eastAsia" w:ascii="楷体" w:hAnsi="楷体" w:eastAsia="楷体" w:cs="楷体"/>
          <w:b w:val="0"/>
          <w:bCs w:val="0"/>
          <w:color w:val="auto"/>
          <w:spacing w:val="0"/>
          <w:sz w:val="32"/>
          <w:szCs w:val="32"/>
          <w:lang w:eastAsia="zh-CN"/>
        </w:rPr>
        <w:t>（二）编制依据</w:t>
      </w:r>
      <w:bookmarkEnd w:id="3"/>
    </w:p>
    <w:p w14:paraId="3FA2E5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1.《中华人民共和国突发事件应对法》（主席令第25号）</w:t>
      </w:r>
    </w:p>
    <w:p w14:paraId="673A338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2.《中华人民共和国防震减灾法》（主席令第7号）</w:t>
      </w:r>
    </w:p>
    <w:p w14:paraId="3ED6F1D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3.《中华人民共和国破坏性地震应急条例》（国务院令第172号）</w:t>
      </w:r>
    </w:p>
    <w:p w14:paraId="5709C43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4.《黑龙江省防震减灾条例》（黑龙江省人大常委会第49号）</w:t>
      </w:r>
    </w:p>
    <w:p w14:paraId="2CB9416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5.《佳木斯市</w:t>
      </w:r>
      <w:r>
        <w:rPr>
          <w:rFonts w:hint="eastAsia" w:ascii="仿宋" w:hAnsi="仿宋" w:eastAsia="仿宋" w:cs="仿宋"/>
          <w:color w:val="auto"/>
          <w:spacing w:val="0"/>
          <w:sz w:val="32"/>
          <w:szCs w:val="32"/>
          <w:lang w:val="en-US" w:eastAsia="zh-CN"/>
        </w:rPr>
        <w:t>人民政府办公室关于印发〈佳木斯市</w:t>
      </w:r>
      <w:r>
        <w:rPr>
          <w:rFonts w:hint="default" w:ascii="仿宋" w:hAnsi="仿宋" w:eastAsia="仿宋" w:cs="仿宋"/>
          <w:color w:val="auto"/>
          <w:spacing w:val="0"/>
          <w:sz w:val="32"/>
          <w:szCs w:val="32"/>
          <w:lang w:eastAsia="zh-CN"/>
        </w:rPr>
        <w:t>地震灾害应急预案</w:t>
      </w:r>
      <w:r>
        <w:rPr>
          <w:rFonts w:hint="eastAsia" w:ascii="仿宋" w:hAnsi="仿宋" w:eastAsia="仿宋" w:cs="仿宋"/>
          <w:color w:val="auto"/>
          <w:spacing w:val="0"/>
          <w:sz w:val="32"/>
          <w:szCs w:val="32"/>
          <w:lang w:val="en-US" w:eastAsia="zh-CN"/>
        </w:rPr>
        <w:t>〉的通知</w:t>
      </w:r>
      <w:r>
        <w:rPr>
          <w:rFonts w:hint="default" w:ascii="仿宋" w:hAnsi="仿宋" w:eastAsia="仿宋" w:cs="仿宋"/>
          <w:color w:val="auto"/>
          <w:spacing w:val="0"/>
          <w:sz w:val="32"/>
          <w:szCs w:val="32"/>
          <w:lang w:eastAsia="zh-CN"/>
        </w:rPr>
        <w:t>》（佳政办</w:t>
      </w:r>
      <w:r>
        <w:rPr>
          <w:rFonts w:hint="eastAsia" w:ascii="仿宋" w:hAnsi="仿宋" w:eastAsia="仿宋" w:cs="仿宋"/>
          <w:color w:val="auto"/>
          <w:spacing w:val="0"/>
          <w:sz w:val="32"/>
          <w:szCs w:val="32"/>
          <w:lang w:val="en-US" w:eastAsia="zh-CN"/>
        </w:rPr>
        <w:t>贵</w:t>
      </w:r>
      <w:r>
        <w:rPr>
          <w:rFonts w:hint="eastAsia" w:ascii="仿宋" w:hAnsi="仿宋" w:eastAsia="仿宋" w:cs="仿宋"/>
          <w:color w:val="auto"/>
          <w:spacing w:val="0"/>
          <w:sz w:val="32"/>
          <w:szCs w:val="32"/>
          <w:lang w:eastAsia="zh-CN"/>
        </w:rPr>
        <w:t>〔2021〕15号</w:t>
      </w:r>
      <w:r>
        <w:rPr>
          <w:rFonts w:hint="default" w:ascii="仿宋" w:hAnsi="仿宋" w:eastAsia="仿宋" w:cs="仿宋"/>
          <w:color w:val="auto"/>
          <w:spacing w:val="0"/>
          <w:sz w:val="32"/>
          <w:szCs w:val="32"/>
          <w:lang w:eastAsia="zh-CN"/>
        </w:rPr>
        <w:t>）</w:t>
      </w:r>
    </w:p>
    <w:p w14:paraId="5A0EFA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6.《佳木斯市向阳区突发事件总体应急预案》</w:t>
      </w:r>
    </w:p>
    <w:p w14:paraId="0BBD9FF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 w:name="_Toc20805"/>
      <w:r>
        <w:rPr>
          <w:rFonts w:hint="default" w:ascii="Times New Roman" w:hAnsi="Times New Roman" w:eastAsia="楷体" w:cs="Times New Roman"/>
          <w:b w:val="0"/>
          <w:bCs w:val="0"/>
          <w:color w:val="auto"/>
          <w:spacing w:val="0"/>
          <w:sz w:val="32"/>
          <w:szCs w:val="32"/>
          <w:lang w:eastAsia="zh-CN"/>
        </w:rPr>
        <w:t>（三）适用范围</w:t>
      </w:r>
      <w:bookmarkEnd w:id="4"/>
    </w:p>
    <w:p w14:paraId="04AE3A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本预案适用于向阳区行政区域内发生地震灾害和其他地震事件，以及周边区域发生对向阳区产生影响的地震灾害的应对和处置工作。</w:t>
      </w:r>
    </w:p>
    <w:p w14:paraId="2B07C2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因地震灾害引发的危险化学品事故，按照危险化学品事故应急预案的规定展开应对工作。</w:t>
      </w:r>
    </w:p>
    <w:p w14:paraId="63CB0A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 w:cs="Times New Roman"/>
          <w:b w:val="0"/>
          <w:bCs w:val="0"/>
          <w:color w:val="auto"/>
          <w:spacing w:val="0"/>
          <w:sz w:val="32"/>
          <w:szCs w:val="32"/>
          <w:lang w:eastAsia="zh-CN"/>
        </w:rPr>
      </w:pPr>
      <w:r>
        <w:rPr>
          <w:rFonts w:hint="default" w:ascii="Times New Roman" w:hAnsi="Times New Roman" w:eastAsia="楷体" w:cs="Times New Roman"/>
          <w:b w:val="0"/>
          <w:bCs w:val="0"/>
          <w:color w:val="auto"/>
          <w:spacing w:val="0"/>
          <w:sz w:val="32"/>
          <w:szCs w:val="32"/>
          <w:lang w:eastAsia="zh-CN"/>
        </w:rPr>
        <w:t>（四）工作原则</w:t>
      </w:r>
    </w:p>
    <w:p w14:paraId="7F5BBA4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地震应急工作实行政府领导、统一指挥、整合资源、信息共享、分工合作、属地为主、分级负责的工作原则：</w:t>
      </w:r>
    </w:p>
    <w:p w14:paraId="7D064F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1.坚持以人为本、减少危害，预防为主、防救并举；</w:t>
      </w:r>
    </w:p>
    <w:p w14:paraId="761DDD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2.坚持统一领导、综合协调，分级负责、属地为主；</w:t>
      </w:r>
    </w:p>
    <w:p w14:paraId="72CDE41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3.坚持快速响应、共同应对，整合资源、信息共享；</w:t>
      </w:r>
    </w:p>
    <w:p w14:paraId="5FB3AF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4.坚持依靠科技、依法管理，增强能力、提高水平。</w:t>
      </w:r>
    </w:p>
    <w:p w14:paraId="0B71F1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地震灾害发生后，各街道办事处、村屯和区政府有关部门应当按照职责分工和相关预案立即开展应急处置工作。</w:t>
      </w:r>
    </w:p>
    <w:p w14:paraId="2D4FFDC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5" w:name="_Toc6612"/>
      <w:r>
        <w:rPr>
          <w:rFonts w:hint="default" w:ascii="Times New Roman" w:hAnsi="Times New Roman" w:eastAsia="黑体" w:cs="Times New Roman"/>
          <w:color w:val="auto"/>
          <w:spacing w:val="0"/>
          <w:sz w:val="32"/>
          <w:szCs w:val="32"/>
          <w:lang w:eastAsia="zh-CN"/>
        </w:rPr>
        <w:t>二、响应机制</w:t>
      </w:r>
      <w:bookmarkEnd w:id="5"/>
    </w:p>
    <w:p w14:paraId="70C806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6" w:name="_Toc30435"/>
      <w:r>
        <w:rPr>
          <w:rFonts w:hint="default" w:ascii="Times New Roman" w:hAnsi="Times New Roman" w:eastAsia="楷体" w:cs="Times New Roman"/>
          <w:b w:val="0"/>
          <w:bCs w:val="0"/>
          <w:color w:val="auto"/>
          <w:spacing w:val="0"/>
          <w:sz w:val="32"/>
          <w:szCs w:val="32"/>
          <w:lang w:eastAsia="zh-CN"/>
        </w:rPr>
        <w:t>（一）地震灾害分级</w:t>
      </w:r>
      <w:bookmarkEnd w:id="6"/>
    </w:p>
    <w:p w14:paraId="44B6C6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国家地震灾害分级为：特别重大、重大、较大、一般四级。</w:t>
      </w:r>
    </w:p>
    <w:p w14:paraId="32FBD0F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1.特别重大地震灾害</w:t>
      </w:r>
    </w:p>
    <w:p w14:paraId="018C68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向阳区行政区内发生7.0级以上或城区发生6.0级以上破坏性地震</w:t>
      </w:r>
      <w:r>
        <w:rPr>
          <w:rFonts w:hint="default"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lang w:val="en-US" w:eastAsia="zh-CN"/>
        </w:rPr>
        <w:t>或</w:t>
      </w:r>
      <w:r>
        <w:rPr>
          <w:rFonts w:hint="default" w:ascii="仿宋" w:hAnsi="仿宋" w:eastAsia="仿宋" w:cs="仿宋"/>
          <w:color w:val="auto"/>
          <w:spacing w:val="0"/>
          <w:sz w:val="32"/>
          <w:szCs w:val="32"/>
          <w:highlight w:val="none"/>
          <w:lang w:eastAsia="zh-CN"/>
        </w:rPr>
        <w:t>造成300人以上死亡（含失踪），或直接经济损失占</w:t>
      </w:r>
      <w:r>
        <w:rPr>
          <w:rFonts w:hint="default" w:ascii="仿宋" w:hAnsi="仿宋" w:eastAsia="仿宋" w:cs="仿宋"/>
          <w:color w:val="auto"/>
          <w:spacing w:val="0"/>
          <w:sz w:val="32"/>
          <w:szCs w:val="32"/>
          <w:lang w:eastAsia="zh-CN"/>
        </w:rPr>
        <w:t>全区上一年度国内生产总值1%以上的地震灾害事件，初判为特别重大地震灾害。</w:t>
      </w:r>
    </w:p>
    <w:p w14:paraId="028DF4A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2.重大地震灾害</w:t>
      </w:r>
    </w:p>
    <w:p w14:paraId="1AEED4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向阳区行政区内发生6.0至6.9级或城区发生5.0至5.9级破坏性地震；</w:t>
      </w:r>
      <w:r>
        <w:rPr>
          <w:rFonts w:hint="default" w:ascii="仿宋" w:hAnsi="仿宋" w:eastAsia="仿宋" w:cs="仿宋"/>
          <w:color w:val="auto"/>
          <w:spacing w:val="0"/>
          <w:sz w:val="32"/>
          <w:szCs w:val="32"/>
          <w:highlight w:val="none"/>
          <w:lang w:eastAsia="zh-CN"/>
        </w:rPr>
        <w:t>或造成50人至299死亡（含失踪）；</w:t>
      </w:r>
      <w:r>
        <w:rPr>
          <w:rFonts w:hint="default" w:ascii="仿宋" w:hAnsi="仿宋" w:eastAsia="仿宋" w:cs="仿宋"/>
          <w:color w:val="auto"/>
          <w:spacing w:val="0"/>
          <w:sz w:val="32"/>
          <w:szCs w:val="32"/>
          <w:lang w:eastAsia="zh-CN"/>
        </w:rPr>
        <w:t>或造成严重经济损失的地震灾害事件，初判为重大地震灾害。</w:t>
      </w:r>
    </w:p>
    <w:p w14:paraId="5749DCF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3.较大地震灾害</w:t>
      </w:r>
    </w:p>
    <w:p w14:paraId="47AE999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val="en-US" w:eastAsia="zh-CN"/>
        </w:rPr>
      </w:pPr>
      <w:r>
        <w:rPr>
          <w:rFonts w:hint="default" w:ascii="仿宋" w:hAnsi="仿宋" w:eastAsia="仿宋" w:cs="仿宋"/>
          <w:color w:val="auto"/>
          <w:spacing w:val="0"/>
          <w:sz w:val="32"/>
          <w:szCs w:val="32"/>
          <w:lang w:eastAsia="zh-CN"/>
        </w:rPr>
        <w:t>向阳区行政区内发生5.0至5.9级或城区发生4.0至4.9级破坏性地震；或造成10人至49人死亡（含失踪）；或造成较重的经济损失的地震灾害事件，初判为较大地震灾害。</w:t>
      </w:r>
      <w:r>
        <w:rPr>
          <w:rFonts w:hint="eastAsia" w:ascii="仿宋" w:hAnsi="仿宋" w:eastAsia="仿宋" w:cs="仿宋"/>
          <w:color w:val="auto"/>
          <w:spacing w:val="0"/>
          <w:sz w:val="32"/>
          <w:szCs w:val="32"/>
          <w:lang w:val="en-US" w:eastAsia="zh-CN"/>
        </w:rPr>
        <w:t xml:space="preserve"> </w:t>
      </w:r>
    </w:p>
    <w:p w14:paraId="10469A9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4.一般地震灾害</w:t>
      </w:r>
    </w:p>
    <w:p w14:paraId="7FA51B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向阳区行政区内发生4.0至4.9级破坏性地震或造成10人以下死亡（含失踪）；或造成一定经济损失的地震灾害事件，初判为一般地震灾害。</w:t>
      </w:r>
    </w:p>
    <w:p w14:paraId="7C1BC6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color w:val="auto"/>
          <w:spacing w:val="0"/>
          <w:sz w:val="32"/>
          <w:szCs w:val="32"/>
          <w:lang w:eastAsia="zh-CN"/>
        </w:rPr>
      </w:pPr>
      <w:bookmarkStart w:id="7" w:name="_Toc27830"/>
      <w:r>
        <w:rPr>
          <w:rFonts w:hint="default" w:ascii="Times New Roman" w:hAnsi="Times New Roman" w:eastAsia="楷体" w:cs="Times New Roman"/>
          <w:b w:val="0"/>
          <w:bCs w:val="0"/>
          <w:color w:val="auto"/>
          <w:spacing w:val="0"/>
          <w:sz w:val="32"/>
          <w:szCs w:val="32"/>
          <w:lang w:eastAsia="zh-CN"/>
        </w:rPr>
        <w:t>（二）分级响应</w:t>
      </w:r>
      <w:bookmarkEnd w:id="7"/>
    </w:p>
    <w:p w14:paraId="509BED4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1.一级响应</w:t>
      </w:r>
    </w:p>
    <w:p w14:paraId="08EB8F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应对特别重大地震灾害，由</w:t>
      </w:r>
      <w:r>
        <w:rPr>
          <w:rFonts w:hint="default" w:ascii="仿宋" w:hAnsi="仿宋" w:eastAsia="仿宋" w:cs="仿宋"/>
          <w:color w:val="auto"/>
          <w:spacing w:val="0"/>
          <w:sz w:val="32"/>
          <w:szCs w:val="32"/>
          <w:highlight w:val="none"/>
          <w:lang w:eastAsia="zh-CN"/>
        </w:rPr>
        <w:t>国务院抗震救灾指挥部</w:t>
      </w:r>
      <w:r>
        <w:rPr>
          <w:rFonts w:hint="default" w:ascii="仿宋" w:hAnsi="仿宋" w:eastAsia="仿宋" w:cs="仿宋"/>
          <w:color w:val="auto"/>
          <w:spacing w:val="0"/>
          <w:sz w:val="32"/>
          <w:szCs w:val="32"/>
          <w:lang w:eastAsia="zh-CN"/>
        </w:rPr>
        <w:t>指挥，统一领导、指挥和协调国内资源开展抗震救灾工作。省抗震救灾指挥部、市抗震救灾指挥部领导和组织全区应急救援队伍和应急物资参加救援。</w:t>
      </w:r>
    </w:p>
    <w:p w14:paraId="4FDD69A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2.二级响应</w:t>
      </w:r>
    </w:p>
    <w:p w14:paraId="7C2C098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应对重大地震灾害，由</w:t>
      </w:r>
      <w:r>
        <w:rPr>
          <w:rFonts w:hint="default" w:ascii="仿宋" w:hAnsi="仿宋" w:eastAsia="仿宋" w:cs="仿宋"/>
          <w:color w:val="auto"/>
          <w:spacing w:val="0"/>
          <w:sz w:val="32"/>
          <w:szCs w:val="32"/>
          <w:highlight w:val="none"/>
          <w:lang w:eastAsia="zh-CN"/>
        </w:rPr>
        <w:t>省</w:t>
      </w:r>
      <w:r>
        <w:rPr>
          <w:rFonts w:hint="eastAsia" w:ascii="仿宋" w:hAnsi="仿宋" w:eastAsia="仿宋" w:cs="仿宋"/>
          <w:color w:val="auto"/>
          <w:spacing w:val="0"/>
          <w:sz w:val="32"/>
          <w:szCs w:val="32"/>
          <w:highlight w:val="none"/>
          <w:lang w:eastAsia="zh-CN"/>
        </w:rPr>
        <w:t>抗震救灾指挥部</w:t>
      </w:r>
      <w:r>
        <w:rPr>
          <w:rFonts w:hint="default" w:ascii="仿宋" w:hAnsi="仿宋" w:eastAsia="仿宋" w:cs="仿宋"/>
          <w:color w:val="auto"/>
          <w:spacing w:val="0"/>
          <w:sz w:val="32"/>
          <w:szCs w:val="32"/>
          <w:lang w:eastAsia="zh-CN"/>
        </w:rPr>
        <w:t>，指挥和协调省内资源开展抗震救灾工作。</w:t>
      </w:r>
    </w:p>
    <w:p w14:paraId="40759D2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3.三级响应</w:t>
      </w:r>
    </w:p>
    <w:p w14:paraId="7B1A2A8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应对较大地震灾害，由</w:t>
      </w:r>
      <w:r>
        <w:rPr>
          <w:rFonts w:hint="default" w:ascii="仿宋" w:hAnsi="仿宋" w:eastAsia="仿宋" w:cs="仿宋"/>
          <w:color w:val="auto"/>
          <w:spacing w:val="0"/>
          <w:sz w:val="32"/>
          <w:szCs w:val="32"/>
          <w:highlight w:val="none"/>
          <w:lang w:eastAsia="zh-CN"/>
        </w:rPr>
        <w:t>市抗震救灾指挥部</w:t>
      </w:r>
      <w:r>
        <w:rPr>
          <w:rFonts w:hint="default" w:ascii="仿宋" w:hAnsi="仿宋" w:eastAsia="仿宋" w:cs="仿宋"/>
          <w:color w:val="auto"/>
          <w:spacing w:val="0"/>
          <w:sz w:val="32"/>
          <w:szCs w:val="32"/>
          <w:lang w:eastAsia="zh-CN"/>
        </w:rPr>
        <w:t>统一领导、指挥和协调全市资源开展抗震救灾工作。</w:t>
      </w:r>
    </w:p>
    <w:p w14:paraId="35DF06B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4.四级响应</w:t>
      </w:r>
    </w:p>
    <w:p w14:paraId="48125E6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应对一般地震灾害，</w:t>
      </w:r>
      <w:r>
        <w:rPr>
          <w:rFonts w:hint="default" w:ascii="仿宋" w:hAnsi="仿宋" w:eastAsia="仿宋" w:cs="仿宋"/>
          <w:color w:val="auto"/>
          <w:spacing w:val="0"/>
          <w:sz w:val="32"/>
          <w:szCs w:val="32"/>
          <w:highlight w:val="none"/>
          <w:lang w:eastAsia="zh-CN"/>
        </w:rPr>
        <w:t>区抗震救灾指挥部</w:t>
      </w:r>
      <w:r>
        <w:rPr>
          <w:rFonts w:hint="default" w:ascii="仿宋" w:hAnsi="仿宋" w:eastAsia="仿宋" w:cs="仿宋"/>
          <w:color w:val="auto"/>
          <w:spacing w:val="0"/>
          <w:sz w:val="32"/>
          <w:szCs w:val="32"/>
          <w:lang w:eastAsia="zh-CN"/>
        </w:rPr>
        <w:t>统一领导、指挥和协调全区资源开展抗震救灾工作。全区所有部门和企事业单位根据灾区需求，全力做好抗震救灾工作。必要时，请求市政府或有关部门进行紧急支援。</w:t>
      </w:r>
    </w:p>
    <w:p w14:paraId="03BC2B7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5.响应级别调整</w:t>
      </w:r>
    </w:p>
    <w:p w14:paraId="64DB9D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地震应急响应启动后，可视灾情及其发展情况对响应级别及时进行相应调整，避免响应不足或响应过度。</w:t>
      </w:r>
    </w:p>
    <w:p w14:paraId="583D4AA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6.涉及毗邻行政区的地震灾害应急处置</w:t>
      </w:r>
    </w:p>
    <w:p w14:paraId="426570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仿宋" w:hAnsi="仿宋" w:eastAsia="仿宋" w:cs="仿宋"/>
          <w:color w:val="auto"/>
          <w:spacing w:val="0"/>
          <w:sz w:val="32"/>
          <w:szCs w:val="32"/>
          <w:lang w:eastAsia="zh-CN"/>
        </w:rPr>
        <w:t>涉及毗邻行政区的地震灾害事件的应急处置，可由</w:t>
      </w:r>
      <w:r>
        <w:rPr>
          <w:rFonts w:hint="default" w:ascii="仿宋" w:hAnsi="仿宋" w:eastAsia="仿宋" w:cs="仿宋"/>
          <w:color w:val="auto"/>
          <w:spacing w:val="0"/>
          <w:sz w:val="32"/>
          <w:szCs w:val="32"/>
          <w:highlight w:val="none"/>
          <w:lang w:eastAsia="zh-CN"/>
        </w:rPr>
        <w:t>市抗震救灾指挥部给予必要的协调和支持，由区抗震救灾指挥部负责组织实施。</w:t>
      </w:r>
    </w:p>
    <w:p w14:paraId="489554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8" w:name="_Toc4268"/>
      <w:r>
        <w:rPr>
          <w:rFonts w:hint="default" w:ascii="Times New Roman" w:hAnsi="Times New Roman" w:eastAsia="黑体" w:cs="Times New Roman"/>
          <w:color w:val="auto"/>
          <w:spacing w:val="0"/>
          <w:sz w:val="32"/>
          <w:szCs w:val="32"/>
          <w:lang w:eastAsia="zh-CN"/>
        </w:rPr>
        <w:t>三、指挥体系及职责</w:t>
      </w:r>
      <w:bookmarkEnd w:id="8"/>
    </w:p>
    <w:p w14:paraId="23DCE6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地震灾害发生时，区政府成立抗震救灾指挥部，负责抗震救灾工作。下设七个工作组，负责抗震救灾工作的具体实施。</w:t>
      </w:r>
    </w:p>
    <w:p w14:paraId="6C8E39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实施抗震救灾应急响应时，</w:t>
      </w:r>
      <w:r>
        <w:rPr>
          <w:rFonts w:hint="default" w:ascii="仿宋" w:hAnsi="仿宋" w:eastAsia="仿宋" w:cs="仿宋"/>
          <w:color w:val="auto"/>
          <w:spacing w:val="0"/>
          <w:sz w:val="32"/>
          <w:szCs w:val="32"/>
          <w:highlight w:val="none"/>
          <w:lang w:eastAsia="zh-CN"/>
        </w:rPr>
        <w:t>区抗震救灾指挥部设办公室</w:t>
      </w:r>
      <w:r>
        <w:rPr>
          <w:rFonts w:hint="default" w:ascii="仿宋" w:hAnsi="仿宋" w:eastAsia="仿宋" w:cs="仿宋"/>
          <w:color w:val="auto"/>
          <w:spacing w:val="0"/>
          <w:sz w:val="32"/>
          <w:szCs w:val="32"/>
          <w:lang w:eastAsia="zh-CN"/>
        </w:rPr>
        <w:t>，办公室设在区应急局，由局长兼任办公室主任。</w:t>
      </w:r>
    </w:p>
    <w:p w14:paraId="27505C6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color w:val="auto"/>
          <w:spacing w:val="0"/>
          <w:sz w:val="32"/>
          <w:szCs w:val="32"/>
          <w:lang w:eastAsia="zh-CN"/>
        </w:rPr>
      </w:pPr>
      <w:bookmarkStart w:id="9" w:name="_Toc20268"/>
      <w:r>
        <w:rPr>
          <w:rFonts w:hint="default" w:ascii="Times New Roman" w:hAnsi="Times New Roman" w:eastAsia="楷体" w:cs="Times New Roman"/>
          <w:b w:val="0"/>
          <w:bCs w:val="0"/>
          <w:color w:val="auto"/>
          <w:spacing w:val="0"/>
          <w:sz w:val="32"/>
          <w:szCs w:val="32"/>
          <w:lang w:eastAsia="zh-CN"/>
        </w:rPr>
        <w:t>（一）抗震救灾指挥部组成</w:t>
      </w:r>
      <w:bookmarkEnd w:id="9"/>
    </w:p>
    <w:p w14:paraId="1F347A1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总 指 挥：</w:t>
      </w:r>
      <w:r>
        <w:rPr>
          <w:rFonts w:hint="eastAsia" w:ascii="仿宋" w:hAnsi="仿宋" w:eastAsia="仿宋" w:cs="仿宋"/>
          <w:snapToGrid/>
          <w:color w:val="auto"/>
          <w:spacing w:val="0"/>
          <w:sz w:val="32"/>
          <w:szCs w:val="32"/>
          <w:lang w:val="zh-CN" w:eastAsia="zh-CN" w:bidi="zh-CN"/>
        </w:rPr>
        <w:t>区委</w:t>
      </w:r>
      <w:r>
        <w:rPr>
          <w:rFonts w:hint="eastAsia" w:ascii="仿宋" w:hAnsi="仿宋" w:eastAsia="仿宋" w:cs="仿宋"/>
          <w:snapToGrid/>
          <w:color w:val="auto"/>
          <w:spacing w:val="0"/>
          <w:sz w:val="32"/>
          <w:szCs w:val="32"/>
          <w:lang w:val="en-US" w:eastAsia="zh-CN" w:bidi="zh-CN"/>
        </w:rPr>
        <w:t>副书记、政府区长</w:t>
      </w:r>
    </w:p>
    <w:p w14:paraId="648CE2C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副总指挥：区委常委、常务副区长</w:t>
      </w:r>
    </w:p>
    <w:p w14:paraId="2E727091">
      <w:pPr>
        <w:keepNext w:val="0"/>
        <w:keepLines w:val="0"/>
        <w:pageBreakBefore w:val="0"/>
        <w:widowControl w:val="0"/>
        <w:wordWrap/>
        <w:overflowPunct/>
        <w:topLinePunct w:val="0"/>
        <w:autoSpaceDE w:val="0"/>
        <w:autoSpaceDN w:val="0"/>
        <w:bidi w:val="0"/>
        <w:adjustRightInd w:val="0"/>
        <w:snapToGrid w:val="0"/>
        <w:spacing w:line="560" w:lineRule="exact"/>
        <w:ind w:firstLine="2240" w:firstLineChars="700"/>
        <w:jc w:val="both"/>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区应急局局长</w:t>
      </w:r>
    </w:p>
    <w:p w14:paraId="54B819F5">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主要成员：区委宣传部</w:t>
      </w:r>
    </w:p>
    <w:p w14:paraId="7D03C68C">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区应急局</w:t>
      </w:r>
    </w:p>
    <w:p w14:paraId="737FB41D">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区发改局</w:t>
      </w:r>
    </w:p>
    <w:p w14:paraId="71269E12">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区工信局</w:t>
      </w:r>
    </w:p>
    <w:p w14:paraId="05CADEA2">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区教育局</w:t>
      </w:r>
    </w:p>
    <w:p w14:paraId="04FFD414">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区民政局</w:t>
      </w:r>
    </w:p>
    <w:p w14:paraId="681416CF">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区财政局</w:t>
      </w:r>
    </w:p>
    <w:p w14:paraId="374F900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区人社局</w:t>
      </w:r>
    </w:p>
    <w:p w14:paraId="0F1248BF">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区住建局</w:t>
      </w:r>
    </w:p>
    <w:p w14:paraId="1E174E3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区水务局</w:t>
      </w:r>
    </w:p>
    <w:p w14:paraId="7C42D30F">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区商务局</w:t>
      </w:r>
    </w:p>
    <w:p w14:paraId="4A91C47D">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区卫健局</w:t>
      </w:r>
    </w:p>
    <w:p w14:paraId="4290B87B">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区市场局</w:t>
      </w:r>
    </w:p>
    <w:p w14:paraId="47C9EF72">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区城管局</w:t>
      </w:r>
    </w:p>
    <w:p w14:paraId="4AB09F5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区人武部</w:t>
      </w:r>
    </w:p>
    <w:p w14:paraId="307ADB6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向阳公安分局</w:t>
      </w:r>
    </w:p>
    <w:p w14:paraId="66DCD016">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向阳交警大队</w:t>
      </w:r>
    </w:p>
    <w:p w14:paraId="192D38DF">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区消防救援大队</w:t>
      </w:r>
    </w:p>
    <w:p w14:paraId="7D48FBCA">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区政府办</w:t>
      </w:r>
    </w:p>
    <w:p w14:paraId="4CFDB9DA">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区营商局</w:t>
      </w:r>
    </w:p>
    <w:p w14:paraId="7E7780F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区审计局</w:t>
      </w:r>
    </w:p>
    <w:p w14:paraId="1FA536A1">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向阳生态环境局</w:t>
      </w:r>
    </w:p>
    <w:p w14:paraId="1FCBEC5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区文旅局</w:t>
      </w:r>
    </w:p>
    <w:p w14:paraId="66A16EA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自然资源和规划局一分局</w:t>
      </w:r>
    </w:p>
    <w:p w14:paraId="5D428149">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区信访局</w:t>
      </w:r>
    </w:p>
    <w:p w14:paraId="117C4E04">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区退役军人事务局</w:t>
      </w:r>
    </w:p>
    <w:p w14:paraId="6DAD4203">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各街道办事处</w:t>
      </w:r>
    </w:p>
    <w:p w14:paraId="1B8528BB">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b/>
          <w:bCs/>
          <w:color w:val="auto"/>
          <w:spacing w:val="0"/>
          <w:sz w:val="32"/>
          <w:szCs w:val="32"/>
          <w:lang w:eastAsia="zh-CN"/>
        </w:rPr>
      </w:pPr>
      <w:r>
        <w:rPr>
          <w:rFonts w:hint="eastAsia" w:ascii="仿宋" w:hAnsi="仿宋" w:eastAsia="仿宋" w:cs="仿宋"/>
          <w:snapToGrid w:val="0"/>
          <w:color w:val="auto"/>
          <w:spacing w:val="0"/>
          <w:sz w:val="32"/>
          <w:szCs w:val="32"/>
          <w:lang w:val="en-US" w:eastAsia="zh-CN" w:bidi="ar-SA"/>
        </w:rPr>
        <w:t>各村屯</w:t>
      </w:r>
    </w:p>
    <w:p w14:paraId="010912C4">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相关生产经营单位负责人</w:t>
      </w:r>
    </w:p>
    <w:p w14:paraId="1EEE45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color w:val="auto"/>
          <w:spacing w:val="0"/>
          <w:sz w:val="32"/>
          <w:szCs w:val="32"/>
          <w:lang w:eastAsia="zh-CN"/>
        </w:rPr>
      </w:pPr>
      <w:bookmarkStart w:id="10" w:name="_Toc9330"/>
      <w:r>
        <w:rPr>
          <w:rFonts w:hint="default" w:ascii="Times New Roman" w:hAnsi="Times New Roman" w:eastAsia="楷体" w:cs="Times New Roman"/>
          <w:b w:val="0"/>
          <w:bCs w:val="0"/>
          <w:color w:val="auto"/>
          <w:spacing w:val="0"/>
          <w:sz w:val="32"/>
          <w:szCs w:val="32"/>
          <w:lang w:eastAsia="zh-CN"/>
        </w:rPr>
        <w:t>（二）抗震救灾指挥部及指挥部办公室职责</w:t>
      </w:r>
      <w:bookmarkEnd w:id="10"/>
    </w:p>
    <w:p w14:paraId="35FEEC7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1.指挥部职责</w:t>
      </w:r>
    </w:p>
    <w:p w14:paraId="0FC2AC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（1）贯彻落实上级关于抗震救灾工作的决策部署和区委、区政府相关工作要求；</w:t>
      </w:r>
    </w:p>
    <w:p w14:paraId="3A5A129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（2）向省、市、区政府报告震情、灾情和救灾工作进展；</w:t>
      </w:r>
    </w:p>
    <w:p w14:paraId="2C872E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（3）确定、调整地震应急响应级别和应急期，指挥地震灾害抢救抢险行动；</w:t>
      </w:r>
    </w:p>
    <w:p w14:paraId="591A43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（4）审定震情、灾情信息发布口径，设立新闻发言人，及时向社会公告震情、灾情信息；</w:t>
      </w:r>
    </w:p>
    <w:p w14:paraId="5F9EB8C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（5）组织街道办事处、村屯、有关部门、单位查清受灾情况，制定地震应急救援力量配置方案；</w:t>
      </w:r>
    </w:p>
    <w:p w14:paraId="6723F02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（6）成立抗震救灾现场指挥部，派出紧急救援队、各类抢险队；</w:t>
      </w:r>
    </w:p>
    <w:p w14:paraId="68C1E3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（7）与市抗震救灾指挥部联络，请求市级救援力量参加抢险救灾；</w:t>
      </w:r>
    </w:p>
    <w:p w14:paraId="7142DBE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（8）调配和</w:t>
      </w:r>
      <w:r>
        <w:rPr>
          <w:rFonts w:hint="eastAsia" w:ascii="仿宋" w:hAnsi="仿宋" w:eastAsia="仿宋" w:cs="仿宋"/>
          <w:strike w:val="0"/>
          <w:dstrike w:val="0"/>
          <w:color w:val="auto"/>
          <w:spacing w:val="0"/>
          <w:sz w:val="32"/>
          <w:szCs w:val="32"/>
          <w:lang w:val="en-US" w:eastAsia="zh-CN"/>
        </w:rPr>
        <w:t>接收</w:t>
      </w:r>
      <w:r>
        <w:rPr>
          <w:rFonts w:hint="default" w:ascii="仿宋" w:hAnsi="仿宋" w:eastAsia="仿宋" w:cs="仿宋"/>
          <w:color w:val="auto"/>
          <w:spacing w:val="0"/>
          <w:sz w:val="32"/>
          <w:szCs w:val="32"/>
          <w:lang w:eastAsia="zh-CN"/>
        </w:rPr>
        <w:t>救灾物资、资金和装备；</w:t>
      </w:r>
    </w:p>
    <w:p w14:paraId="2CFB24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（9）部署转移安置灾民，保障灾民基本生活；</w:t>
      </w:r>
    </w:p>
    <w:p w14:paraId="39B9FE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（10）部署对灾区的紧急援助；</w:t>
      </w:r>
    </w:p>
    <w:p w14:paraId="2F6CDF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（11）根据震情和灾情采取有效措施，防范次生灾害和传染病疫情的发生；</w:t>
      </w:r>
    </w:p>
    <w:p w14:paraId="7EBFC2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（12）区抗震救灾指挥部成员实行AB角负责制，A角为各部门主要负责人，B角为各部门日常分管防震减灾工作负</w:t>
      </w:r>
      <w:r>
        <w:rPr>
          <w:rFonts w:hint="default" w:ascii="仿宋" w:hAnsi="仿宋" w:eastAsia="仿宋" w:cs="仿宋"/>
          <w:color w:val="auto"/>
          <w:spacing w:val="0"/>
          <w:sz w:val="32"/>
          <w:szCs w:val="32"/>
          <w:lang w:eastAsia="zh-CN"/>
        </w:rPr>
        <w:t>责人。实施</w:t>
      </w:r>
      <w:r>
        <w:rPr>
          <w:rFonts w:hint="default" w:ascii="仿宋" w:hAnsi="仿宋" w:eastAsia="仿宋" w:cs="仿宋"/>
          <w:color w:val="auto"/>
          <w:spacing w:val="0"/>
          <w:sz w:val="32"/>
          <w:szCs w:val="32"/>
          <w:highlight w:val="none"/>
          <w:lang w:eastAsia="zh-CN"/>
        </w:rPr>
        <w:t>一、二、三级</w:t>
      </w:r>
      <w:r>
        <w:rPr>
          <w:rFonts w:hint="default" w:ascii="仿宋" w:hAnsi="仿宋" w:eastAsia="仿宋" w:cs="仿宋"/>
          <w:color w:val="auto"/>
          <w:spacing w:val="0"/>
          <w:sz w:val="32"/>
          <w:szCs w:val="32"/>
          <w:lang w:eastAsia="zh-CN"/>
        </w:rPr>
        <w:t>地震应急响应时，A角参加区抗震救灾指挥部的决策部署，B角负责落实各部门抗震救灾指挥部的应急任务，A角临时缺岗时由B角替补。</w:t>
      </w:r>
    </w:p>
    <w:p w14:paraId="1D852DB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2.指挥部办公室职责</w:t>
      </w:r>
    </w:p>
    <w:p w14:paraId="1937A5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（1）负责贯彻落实区抗震救灾指挥部指令；</w:t>
      </w:r>
    </w:p>
    <w:p w14:paraId="06C254A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（2）组织有关专家为指挥部提供抗震救灾决策建议；</w:t>
      </w:r>
    </w:p>
    <w:p w14:paraId="68359D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（3）汇总、报送、发布震情、灾情和抗震救灾工作进展信息；</w:t>
      </w:r>
    </w:p>
    <w:p w14:paraId="6BF937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（4）协调落实区抗震救灾指挥部、现场指挥部、区抗震救灾指挥部成员单位的应急工作，负责有关部门之间的联络沟通；</w:t>
      </w:r>
    </w:p>
    <w:p w14:paraId="52D74E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（5）组织制定并落实地震应急救援力量配置方案；</w:t>
      </w:r>
    </w:p>
    <w:p w14:paraId="28F288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（6）组织开展抗震救灾宣传和新闻发布；</w:t>
      </w:r>
    </w:p>
    <w:p w14:paraId="7B7A22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（7）起草指挥部文电、管理指挥部各类文书资料并整理归档；</w:t>
      </w:r>
    </w:p>
    <w:p w14:paraId="17984D2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（8）为指挥部技术、后勤等提供保障；</w:t>
      </w:r>
    </w:p>
    <w:p w14:paraId="48D5AF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（9）处理指挥部事务和领导交办的其他工作。</w:t>
      </w:r>
    </w:p>
    <w:p w14:paraId="48CA3B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1" w:name="_Toc637"/>
      <w:r>
        <w:rPr>
          <w:rFonts w:hint="default" w:ascii="Times New Roman" w:hAnsi="Times New Roman" w:eastAsia="楷体" w:cs="Times New Roman"/>
          <w:b w:val="0"/>
          <w:bCs w:val="0"/>
          <w:color w:val="auto"/>
          <w:spacing w:val="0"/>
          <w:sz w:val="32"/>
          <w:szCs w:val="32"/>
          <w:lang w:eastAsia="zh-CN"/>
        </w:rPr>
        <w:t>（三）抗震救灾指挥部成员单位职责</w:t>
      </w:r>
      <w:bookmarkEnd w:id="11"/>
    </w:p>
    <w:p w14:paraId="114992B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1.区委宣传部：</w:t>
      </w:r>
      <w:r>
        <w:rPr>
          <w:rFonts w:hint="eastAsia" w:ascii="仿宋" w:hAnsi="仿宋" w:eastAsia="仿宋" w:cs="仿宋"/>
          <w:color w:val="auto"/>
          <w:spacing w:val="0"/>
          <w:sz w:val="32"/>
          <w:szCs w:val="32"/>
          <w:lang w:eastAsia="zh-CN"/>
        </w:rPr>
        <w:t>根据应急指挥部安排，做好新闻报道、媒体记者组织、管理和引导工作；及时播发灾害性地震灾害的监测、预报、警报等信息，遇有突发地震灾害，及时插播预警信息；负责相关新闻稿件的审阅、批准。</w:t>
      </w:r>
    </w:p>
    <w:p w14:paraId="4E8F04A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2.区应急局：</w:t>
      </w:r>
      <w:r>
        <w:rPr>
          <w:rFonts w:hint="default" w:ascii="仿宋" w:hAnsi="仿宋" w:eastAsia="仿宋" w:cs="仿宋"/>
          <w:color w:val="auto"/>
          <w:spacing w:val="0"/>
          <w:sz w:val="32"/>
          <w:szCs w:val="32"/>
          <w:lang w:eastAsia="zh-CN"/>
        </w:rPr>
        <w:t>承担指挥部办公室职责，并牵头制（修）定地震灾害救助应急预案，并组织演练和实施。组织、协调救灾工作。负责申请、分配和管理全区救灾款物并监督检查使用情况。指导避灾安置场所和救灾物资储备库的建设与管理。指导灾区转移安置灾民，开展受灾群众基本生活救助。指导社会力量参与救灾。会同有关部门组织核查、报送、发布灾情。指导灾区实施因灾倒损房屋的恢复重建。组织、指导开展救灾捐赠工作。</w:t>
      </w:r>
    </w:p>
    <w:p w14:paraId="5FB3142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3.区发改局：</w:t>
      </w:r>
      <w:r>
        <w:rPr>
          <w:rFonts w:hint="default" w:ascii="仿宋" w:hAnsi="仿宋" w:eastAsia="仿宋" w:cs="仿宋"/>
          <w:color w:val="auto"/>
          <w:spacing w:val="0"/>
          <w:sz w:val="32"/>
          <w:szCs w:val="32"/>
          <w:lang w:eastAsia="zh-CN"/>
        </w:rPr>
        <w:t>组织有关部门制定和推动实施灾后生产恢复和重建规划。</w:t>
      </w:r>
    </w:p>
    <w:p w14:paraId="7419C61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4.区工信局：</w:t>
      </w:r>
      <w:r>
        <w:rPr>
          <w:rFonts w:hint="default" w:ascii="仿宋" w:hAnsi="仿宋" w:eastAsia="仿宋" w:cs="仿宋"/>
          <w:color w:val="auto"/>
          <w:spacing w:val="0"/>
          <w:sz w:val="32"/>
          <w:szCs w:val="32"/>
          <w:lang w:eastAsia="zh-CN"/>
        </w:rPr>
        <w:t>组织协调基础设施保障和抢修维护工作；组织受灾企业做好次生灾害的抢险、排除工作，防范次生灾害发生；指导和帮助受灾企业恢复生产，对企业受损及损毁情况进行核实。</w:t>
      </w:r>
    </w:p>
    <w:p w14:paraId="1BD0F54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5.区教育局：</w:t>
      </w:r>
      <w:r>
        <w:rPr>
          <w:rFonts w:hint="default" w:ascii="仿宋" w:hAnsi="仿宋" w:eastAsia="仿宋" w:cs="仿宋"/>
          <w:color w:val="auto"/>
          <w:spacing w:val="0"/>
          <w:sz w:val="32"/>
          <w:szCs w:val="32"/>
          <w:lang w:eastAsia="zh-CN"/>
        </w:rPr>
        <w:t>负责协调灾害发生时学校的安全保障工作。指导受灾地区做好受灾学校师生转移工作。加强对学生进行地震灾害防御知识的宣传教育工作。指导受灾地区恢复正常教育教学秩序，做好灾后学校重建相关工作。</w:t>
      </w:r>
    </w:p>
    <w:p w14:paraId="3A5DD8E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6.区民政局：</w:t>
      </w:r>
      <w:r>
        <w:rPr>
          <w:rFonts w:hint="default" w:ascii="仿宋" w:hAnsi="仿宋" w:eastAsia="仿宋" w:cs="仿宋"/>
          <w:color w:val="auto"/>
          <w:spacing w:val="0"/>
          <w:sz w:val="32"/>
          <w:szCs w:val="32"/>
          <w:lang w:eastAsia="zh-CN"/>
        </w:rPr>
        <w:t>负责做好灾后临时救助工作。</w:t>
      </w:r>
    </w:p>
    <w:p w14:paraId="3D567C9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7.区财政局：</w:t>
      </w:r>
      <w:r>
        <w:rPr>
          <w:rFonts w:hint="default" w:ascii="仿宋" w:hAnsi="仿宋" w:eastAsia="仿宋" w:cs="仿宋"/>
          <w:color w:val="auto"/>
          <w:spacing w:val="0"/>
          <w:sz w:val="32"/>
          <w:szCs w:val="32"/>
          <w:lang w:eastAsia="zh-CN"/>
        </w:rPr>
        <w:t>负责减灾救灾资金的筹措、拨付工作。</w:t>
      </w:r>
    </w:p>
    <w:p w14:paraId="39F69DE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8.区人社局：</w:t>
      </w:r>
      <w:r>
        <w:rPr>
          <w:rFonts w:hint="default" w:ascii="仿宋" w:hAnsi="仿宋" w:eastAsia="仿宋" w:cs="仿宋"/>
          <w:color w:val="auto"/>
          <w:spacing w:val="0"/>
          <w:sz w:val="32"/>
          <w:szCs w:val="32"/>
          <w:lang w:eastAsia="zh-CN"/>
        </w:rPr>
        <w:t>与市人力资源和社会保障局沟通，按照国务院《工伤保险条例》的规定，会同有关部门落实好参与地震灾害应急处置工作受伤人员的伤亡待遇问题。</w:t>
      </w:r>
    </w:p>
    <w:p w14:paraId="4515443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9.区住建局：</w:t>
      </w:r>
      <w:r>
        <w:rPr>
          <w:rFonts w:hint="default" w:ascii="仿宋" w:hAnsi="仿宋" w:eastAsia="仿宋" w:cs="仿宋"/>
          <w:color w:val="auto"/>
          <w:spacing w:val="0"/>
          <w:sz w:val="32"/>
          <w:szCs w:val="32"/>
          <w:lang w:eastAsia="zh-CN"/>
        </w:rPr>
        <w:t>负责灾后恢复重建规划和工程设计施工等管理工作。指导受灾地区做好灾后房屋和市政基础设施的修复、重建等工作。指导避灾安置场所的房屋质量安全检查和鉴定工作。</w:t>
      </w:r>
    </w:p>
    <w:p w14:paraId="5BE7F2B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10.区水务局：</w:t>
      </w:r>
      <w:r>
        <w:rPr>
          <w:rFonts w:hint="default" w:ascii="仿宋" w:hAnsi="仿宋" w:eastAsia="仿宋" w:cs="仿宋"/>
          <w:color w:val="auto"/>
          <w:spacing w:val="0"/>
          <w:sz w:val="32"/>
          <w:szCs w:val="32"/>
          <w:lang w:eastAsia="zh-CN"/>
        </w:rPr>
        <w:t>组织协调本系统地震灾害事件应急救援工作。</w:t>
      </w:r>
    </w:p>
    <w:p w14:paraId="6C580BE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11.区商务局：</w:t>
      </w:r>
      <w:r>
        <w:rPr>
          <w:rFonts w:hint="default" w:ascii="仿宋" w:hAnsi="仿宋" w:eastAsia="仿宋" w:cs="仿宋"/>
          <w:color w:val="auto"/>
          <w:spacing w:val="0"/>
          <w:sz w:val="32"/>
          <w:szCs w:val="32"/>
          <w:lang w:eastAsia="zh-CN"/>
        </w:rPr>
        <w:t>在区政府统一领导下，组织协调不同规模的商业企业共同抗灾，建立救灾应急所需食品、饮用水、粮食等救灾物资的采购供应机制。</w:t>
      </w:r>
    </w:p>
    <w:p w14:paraId="08CEB06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12.区卫健局：</w:t>
      </w:r>
      <w:r>
        <w:rPr>
          <w:rFonts w:hint="default" w:ascii="仿宋" w:hAnsi="仿宋" w:eastAsia="仿宋" w:cs="仿宋"/>
          <w:color w:val="auto"/>
          <w:spacing w:val="0"/>
          <w:sz w:val="32"/>
          <w:szCs w:val="32"/>
          <w:lang w:eastAsia="zh-CN"/>
        </w:rPr>
        <w:t>负责设立救护场所，组织医疗救治，转送安置伤员；组织开展灾区防疫消毒、疾病监测、生活饮用水源检测；预防控制传染病的暴发流行；向灾民提供心理卫生咨询和帮助；协调有关部门保障救灾期间药品、医疗器械的调拨。</w:t>
      </w:r>
    </w:p>
    <w:p w14:paraId="7C5264D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13.区市场局：</w:t>
      </w:r>
      <w:r>
        <w:rPr>
          <w:rFonts w:hint="default" w:ascii="仿宋" w:hAnsi="仿宋" w:eastAsia="仿宋" w:cs="仿宋"/>
          <w:color w:val="auto"/>
          <w:spacing w:val="0"/>
          <w:sz w:val="32"/>
          <w:szCs w:val="32"/>
          <w:lang w:eastAsia="zh-CN"/>
        </w:rPr>
        <w:t>负责做好灾区生活必需品质量监督管理，维护市场秩序。</w:t>
      </w:r>
    </w:p>
    <w:p w14:paraId="7FF45F6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14.区城管局：</w:t>
      </w:r>
      <w:r>
        <w:rPr>
          <w:rFonts w:hint="default" w:ascii="仿宋" w:hAnsi="仿宋" w:eastAsia="仿宋" w:cs="仿宋"/>
          <w:color w:val="auto"/>
          <w:spacing w:val="0"/>
          <w:sz w:val="32"/>
          <w:szCs w:val="32"/>
          <w:lang w:eastAsia="zh-CN"/>
        </w:rPr>
        <w:t>参与地震灾害事件应急处置工程抢险或提供相关保障。</w:t>
      </w:r>
    </w:p>
    <w:p w14:paraId="5CFBF80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15.区人武部：</w:t>
      </w:r>
      <w:r>
        <w:rPr>
          <w:rFonts w:hint="default" w:ascii="仿宋" w:hAnsi="仿宋" w:eastAsia="仿宋" w:cs="仿宋"/>
          <w:color w:val="auto"/>
          <w:spacing w:val="0"/>
          <w:sz w:val="32"/>
          <w:szCs w:val="32"/>
          <w:lang w:eastAsia="zh-CN"/>
        </w:rPr>
        <w:t>在区应急指挥部的指挥下，调动民兵预备役力量参加应急救援。</w:t>
      </w:r>
    </w:p>
    <w:p w14:paraId="49683FF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16.向阳公安分局：</w:t>
      </w:r>
      <w:r>
        <w:rPr>
          <w:rFonts w:hint="default" w:ascii="仿宋" w:hAnsi="仿宋" w:eastAsia="仿宋" w:cs="仿宋"/>
          <w:color w:val="auto"/>
          <w:spacing w:val="0"/>
          <w:sz w:val="32"/>
          <w:szCs w:val="32"/>
          <w:lang w:eastAsia="zh-CN"/>
        </w:rPr>
        <w:t>负责灾区的社会治安工作，协助组织灾区群众紧急转移；负责维护治安秩序，打击各类违法犯罪活动，确保灾区重点目标安全和社会稳定。</w:t>
      </w:r>
    </w:p>
    <w:p w14:paraId="3F6B1C3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17.向阳交警大队：</w:t>
      </w:r>
      <w:r>
        <w:rPr>
          <w:rFonts w:hint="default" w:ascii="仿宋" w:hAnsi="仿宋" w:eastAsia="仿宋" w:cs="仿宋"/>
          <w:color w:val="auto"/>
          <w:spacing w:val="0"/>
          <w:sz w:val="32"/>
          <w:szCs w:val="32"/>
          <w:lang w:eastAsia="zh-CN"/>
        </w:rPr>
        <w:t>负责做好交通疏导、管制以及相关工作，确保救灾物资运输畅通。</w:t>
      </w:r>
    </w:p>
    <w:p w14:paraId="0B25F48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18.区消防救援大队：</w:t>
      </w:r>
      <w:r>
        <w:rPr>
          <w:rFonts w:hint="default" w:ascii="仿宋" w:hAnsi="仿宋" w:eastAsia="仿宋" w:cs="仿宋"/>
          <w:color w:val="auto"/>
          <w:spacing w:val="0"/>
          <w:sz w:val="32"/>
          <w:szCs w:val="32"/>
          <w:lang w:eastAsia="zh-CN"/>
        </w:rPr>
        <w:t>配合区应急管理局做好地震灾害的应急处置工作。</w:t>
      </w:r>
    </w:p>
    <w:p w14:paraId="4A2369C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19.其他部门：</w:t>
      </w:r>
      <w:r>
        <w:rPr>
          <w:rFonts w:hint="default" w:ascii="仿宋" w:hAnsi="仿宋" w:eastAsia="仿宋" w:cs="仿宋"/>
          <w:color w:val="auto"/>
          <w:spacing w:val="0"/>
          <w:sz w:val="32"/>
          <w:szCs w:val="32"/>
          <w:lang w:eastAsia="zh-CN"/>
        </w:rPr>
        <w:t>按照区应急指挥部要求参加应急救援工作。</w:t>
      </w:r>
    </w:p>
    <w:p w14:paraId="4B9E366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20.各街道办事处、村屯：</w:t>
      </w:r>
      <w:r>
        <w:rPr>
          <w:rFonts w:hint="default" w:ascii="仿宋" w:hAnsi="仿宋" w:eastAsia="仿宋" w:cs="仿宋"/>
          <w:color w:val="auto"/>
          <w:spacing w:val="0"/>
          <w:sz w:val="32"/>
          <w:szCs w:val="32"/>
          <w:lang w:eastAsia="zh-CN"/>
        </w:rPr>
        <w:t>按照各自职能做好地震灾害事件应急救援工作。</w:t>
      </w:r>
    </w:p>
    <w:p w14:paraId="0F9B282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2" w:name="_Toc24118"/>
      <w:r>
        <w:rPr>
          <w:rFonts w:hint="default" w:ascii="Times New Roman" w:hAnsi="Times New Roman" w:eastAsia="楷体" w:cs="Times New Roman"/>
          <w:b w:val="0"/>
          <w:bCs w:val="0"/>
          <w:color w:val="auto"/>
          <w:spacing w:val="0"/>
          <w:sz w:val="32"/>
          <w:szCs w:val="32"/>
          <w:lang w:eastAsia="zh-CN"/>
        </w:rPr>
        <w:t>（四）抗震救灾工作组组成及职责</w:t>
      </w:r>
      <w:bookmarkEnd w:id="12"/>
    </w:p>
    <w:p w14:paraId="4E6116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区抗震救灾指挥部根据需要设立相应的工作组，区抗震救灾指挥部办公室履行信息汇总和综合协调职责，发挥运转枢纽作用。各工作组组成及职责分工如下：</w:t>
      </w:r>
    </w:p>
    <w:p w14:paraId="7DB2736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1.抢险救援组</w:t>
      </w:r>
    </w:p>
    <w:p w14:paraId="420224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牵头部门：区应急局</w:t>
      </w:r>
    </w:p>
    <w:p w14:paraId="6738E3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组成部门：区消防救援大队、区人武部</w:t>
      </w:r>
    </w:p>
    <w:p w14:paraId="0C6BC54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统筹配置抢险救援力量，负责划分责任边界，调配救援队伍及相关救援机械与装备；协调救援队伍之间的衔接与配合，搜索营救被困群众和受伤人员；协调救援物资的紧急空投工作；协调驻地部队赶赴灾区参加抗震救援，统筹配置抢险救援力量；负责提出地震救援队救援现场的灾情和安全判定及救援处置方案，协助救援队实施现场救援。</w:t>
      </w:r>
    </w:p>
    <w:p w14:paraId="1D7B7D2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2.群众生活保障组</w:t>
      </w:r>
    </w:p>
    <w:p w14:paraId="257BE9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牵头部门：区应急局</w:t>
      </w:r>
    </w:p>
    <w:p w14:paraId="1DC05C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组成部门：区民政局、区教育局、区财政局、区住建局、区城管局、区商务局、街道办事处、村屯</w:t>
      </w:r>
    </w:p>
    <w:p w14:paraId="77A5AAF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制定实施受灾群众救助工作方案以及相应资金物资保障措施；开放应急避难场所；组织筹集、调用和发放灾区生活必需品，优先保证学校、医院、福利机构需要；做好灾民紧急转移安置，优先安置孤儿、孤老及残疾人员；保障灾区群众基本生活，保障灾区市场供应；指导灾区做好保险理赔和给付；沟通财政部门调拨并分配保障灾民基本生活的物资和资金；开展救灾募捐，接收、发放和管理社会各界通过民政系统捐赠款物；负责指导各类学校做好在校学生的应急疏散、安置。</w:t>
      </w:r>
    </w:p>
    <w:p w14:paraId="299DA85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3.医疗救治与卫生防疫组</w:t>
      </w:r>
    </w:p>
    <w:p w14:paraId="2050ECC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牵头部门：区卫健局</w:t>
      </w:r>
    </w:p>
    <w:p w14:paraId="5B9749FB">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w:t>
      </w:r>
      <w:r>
        <w:rPr>
          <w:rFonts w:hint="eastAsia" w:ascii="仿宋" w:hAnsi="仿宋" w:eastAsia="仿宋" w:cs="仿宋"/>
          <w:snapToGrid w:val="0"/>
          <w:color w:val="auto"/>
          <w:spacing w:val="0"/>
          <w:sz w:val="32"/>
          <w:szCs w:val="32"/>
          <w:lang w:val="en-US" w:eastAsia="zh-CN" w:bidi="ar-SA"/>
        </w:rPr>
        <w:t>向阳生态环境局</w:t>
      </w:r>
      <w:r>
        <w:rPr>
          <w:rFonts w:hint="default" w:ascii="仿宋" w:hAnsi="仿宋" w:eastAsia="仿宋" w:cs="仿宋"/>
          <w:color w:val="auto"/>
          <w:spacing w:val="0"/>
          <w:sz w:val="32"/>
          <w:szCs w:val="32"/>
          <w:lang w:eastAsia="zh-CN"/>
        </w:rPr>
        <w:t>、自然资源和规划局一分局、区住建局、区水务局、区市场局等</w:t>
      </w:r>
    </w:p>
    <w:p w14:paraId="55FDFF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整合、调配紧急医学救援队伍、药械、车辆等医疗卫生资源；开展灾区伤员医疗救治、卫生防疫和群众安置点医疗卫生服务及心理援助；实施饮用水卫生监测监管和食品安全风险监测，预防控制传染病及疫情暴发，应对处置突发公共卫生事件；妥善开展遇难人员遗体处理，开展重大动物疫病防控；组织巡回医疗队，向灾区群众和救援人员提供医疗服务和心理援助；负责药品、医疗器械等的调拨供应。</w:t>
      </w:r>
    </w:p>
    <w:p w14:paraId="0C4FBD2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4.基础设施保障和生产恢复组</w:t>
      </w:r>
    </w:p>
    <w:p w14:paraId="6A175DE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牵头部门：区发改局</w:t>
      </w:r>
    </w:p>
    <w:p w14:paraId="1D7A22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组成部门：区住建局、区财政局、区工信局、自然资源和规划局一分局、向阳生态环境局、区水务局、区商务局、区应急局、区文旅局等</w:t>
      </w:r>
    </w:p>
    <w:p w14:paraId="718138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地震应急物资的储备、采购、调度；组织公路、桥梁等交通设施和供电、供水、供气、通信、水利、电力等基础设施抢修维护，切实保障灾区抢险应急物资供应；协调运力，优先保证应急抢险救援人员和救灾物资的运输需要；负责帮助群众抓紧生产自救，对受灾的工矿商贸和农业损毁情况进行核实，指导制定科学恢复生产方案；积极落实有关扶持资金、物资，开展恢复生产工作。</w:t>
      </w:r>
    </w:p>
    <w:p w14:paraId="056C45B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5.震情与灾情监测组</w:t>
      </w:r>
    </w:p>
    <w:p w14:paraId="25BA8D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牵头部门：区应急局</w:t>
      </w:r>
    </w:p>
    <w:p w14:paraId="00C093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组成部门：区委宣传部、区市场局、区民政局、区发革局、区工信局、区商务局、区水务局、向阳生态环境局、自然资源和规划局一分局等</w:t>
      </w:r>
    </w:p>
    <w:p w14:paraId="76ECD57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组织做好抗震救灾宣传报道、防震减灾科普知识宣传和网络舆情监测与引导，加强舆情收集分析；及时收集震情信息；加密震情会商，及时提供震情趋势研判意见和强余震应对建议，指导次生灾害防范工作；加强对次生地质灾害的排查和监测、预警工作，对地震引发的山体滑坡、崩塌、泥石流、地面塌陷等，按地质灾害防治有关规定采取紧急处置措施，协助街道办事处、村屯组织疏散群众；协调市生态环境局采取污染监测、防控措施；负责组织辐射环境事故应急处理，加强对可能造成次生灾害的放射性物质的检查和防控；严密监视水利工程运行情况，发现水利工程险情及时报告并组织处理；做好分管行业领域灾情统计、次生灾害风险分析，及时上报应急指挥部。</w:t>
      </w:r>
    </w:p>
    <w:p w14:paraId="76C61CB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6.社会治安组</w:t>
      </w:r>
    </w:p>
    <w:p w14:paraId="294929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牵头部门：向阳公安分局</w:t>
      </w:r>
    </w:p>
    <w:p w14:paraId="76D908A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组成部门：辖区派出所、街道办事处、村屯</w:t>
      </w:r>
    </w:p>
    <w:p w14:paraId="7F2F214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灾区治安管理和安全保卫工作，严密防范、严厉打击趁灾进行盗窃、抢劫、哄抢救灾物资、以赈灾募捐名义诈骗敛取不义之财、借机传播各种谣言制造社会恐慌等违法犯罪活动；维护社会治安；加强对党政机关、要害部门、银行证券保险等金融单位、储备仓库、监狱等重要场所的警戒；做好涉灾矛盾纠纷化解和法律服务工作，维护社会秩序稳定。</w:t>
      </w:r>
    </w:p>
    <w:p w14:paraId="4E1B81D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7.专家组</w:t>
      </w:r>
    </w:p>
    <w:p w14:paraId="105217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组成：应急管理（地震）、公安、消防、住建、民政、自然资源和规划、城管执法、水务、卫生健康、生态环境、通信、电力、气象等单位业务骨干及高校专家组成。必要时协调市抗震救灾指挥部派出专家支持。</w:t>
      </w:r>
    </w:p>
    <w:p w14:paraId="386E0A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职责：承担抗震救灾决策咨询；向抗震救灾指挥部提出处置措施建议；受抗震救灾指挥部委托对有关处置方案、地震应急工作进行综合评估等；参加生命紧急救援和工程抢修抢险应急处置。</w:t>
      </w:r>
    </w:p>
    <w:p w14:paraId="70A679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13" w:name="_Toc31536"/>
      <w:r>
        <w:rPr>
          <w:rFonts w:hint="default" w:ascii="Times New Roman" w:hAnsi="Times New Roman" w:eastAsia="黑体" w:cs="Times New Roman"/>
          <w:color w:val="auto"/>
          <w:spacing w:val="0"/>
          <w:sz w:val="32"/>
          <w:szCs w:val="32"/>
          <w:lang w:eastAsia="zh-CN"/>
        </w:rPr>
        <w:t>四、风险管控</w:t>
      </w:r>
      <w:bookmarkEnd w:id="13"/>
    </w:p>
    <w:p w14:paraId="3D8EDA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向阳区坚持“预防为主、综合管控”的方针，通过系统性地识别、评估、控制和监控潜在风险，最大限度地降低突发事件发生的可能性及可能造成的损失，变被动应对为主动防范。</w:t>
      </w:r>
    </w:p>
    <w:p w14:paraId="2C519A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4" w:name="_Toc7873"/>
      <w:r>
        <w:rPr>
          <w:rFonts w:hint="default" w:ascii="Times New Roman" w:hAnsi="Times New Roman" w:eastAsia="楷体" w:cs="Times New Roman"/>
          <w:b w:val="0"/>
          <w:bCs w:val="0"/>
          <w:color w:val="auto"/>
          <w:spacing w:val="0"/>
          <w:sz w:val="32"/>
          <w:szCs w:val="32"/>
          <w:lang w:eastAsia="zh-CN"/>
        </w:rPr>
        <w:t>（一）风险识别与评估</w:t>
      </w:r>
      <w:bookmarkEnd w:id="14"/>
    </w:p>
    <w:p w14:paraId="51B2E42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1.全面风险识别：</w:t>
      </w:r>
      <w:r>
        <w:rPr>
          <w:rFonts w:hint="eastAsia" w:ascii="仿宋" w:hAnsi="仿宋" w:eastAsia="仿宋" w:cs="仿宋"/>
          <w:color w:val="auto"/>
          <w:spacing w:val="0"/>
          <w:sz w:val="32"/>
          <w:szCs w:val="32"/>
          <w:lang w:eastAsia="zh-CN"/>
        </w:rPr>
        <w:t>区政府组织各专项应急指挥部、有关部门和街道办事处，依据本预案总则部分对自然灾害、事故灾难、公共卫生事件和社会安全事件的分析，结合辖区人口、产业、地理、气候等特点，定期开展全面地震风险调查。</w:t>
      </w:r>
    </w:p>
    <w:p w14:paraId="56E8622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2.识别范围：</w:t>
      </w:r>
      <w:r>
        <w:rPr>
          <w:rFonts w:hint="default" w:ascii="仿宋" w:hAnsi="仿宋" w:eastAsia="仿宋" w:cs="仿宋"/>
          <w:color w:val="auto"/>
          <w:spacing w:val="0"/>
          <w:sz w:val="32"/>
          <w:szCs w:val="32"/>
          <w:lang w:eastAsia="zh-CN"/>
        </w:rPr>
        <w:t>覆盖全区各行业、各领域、所有生产经营单位和社会生活环节，重点针对高层建筑、商业综合体、交通枢纽、危险化学品单位、人员密集场所、老旧小区、城市生命线工程（供水、供电、供气、通讯）以及环境山体、松花江沿岸等重点区域和薄弱环节。</w:t>
      </w:r>
    </w:p>
    <w:p w14:paraId="2C0A107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3.识别方法：</w:t>
      </w:r>
      <w:r>
        <w:rPr>
          <w:rFonts w:hint="default" w:ascii="仿宋" w:hAnsi="仿宋" w:eastAsia="仿宋" w:cs="仿宋"/>
          <w:color w:val="auto"/>
          <w:spacing w:val="0"/>
          <w:sz w:val="32"/>
          <w:szCs w:val="32"/>
          <w:lang w:eastAsia="zh-CN"/>
        </w:rPr>
        <w:t>综合运用隐患排查、专家检查、舆情分析、案例复盘、公众反映等多种方式，动态更新风险源信息。</w:t>
      </w:r>
    </w:p>
    <w:p w14:paraId="1925813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4.科学风险评估：</w:t>
      </w:r>
      <w:r>
        <w:rPr>
          <w:rFonts w:hint="default" w:ascii="仿宋" w:hAnsi="仿宋" w:eastAsia="仿宋" w:cs="仿宋"/>
          <w:color w:val="auto"/>
          <w:spacing w:val="0"/>
          <w:sz w:val="32"/>
          <w:szCs w:val="32"/>
          <w:lang w:eastAsia="zh-CN"/>
        </w:rPr>
        <w:t>对识别出的风险进行分析评估，确定风险等级。</w:t>
      </w:r>
    </w:p>
    <w:p w14:paraId="4EDADD5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5.评估标准：</w:t>
      </w:r>
      <w:r>
        <w:rPr>
          <w:rFonts w:hint="default" w:ascii="仿宋" w:hAnsi="仿宋" w:eastAsia="仿宋" w:cs="仿宋"/>
          <w:color w:val="auto"/>
          <w:spacing w:val="0"/>
          <w:sz w:val="32"/>
          <w:szCs w:val="32"/>
          <w:lang w:eastAsia="zh-CN"/>
        </w:rPr>
        <w:t>采用定性与定量相结合的方法，从事件发生的可能性和后果的严重性两个维度，参照国家和行业标准，对地震风险进行综合研判。</w:t>
      </w:r>
    </w:p>
    <w:p w14:paraId="3D6B367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6.风险分级：</w:t>
      </w:r>
      <w:r>
        <w:rPr>
          <w:rFonts w:hint="default" w:ascii="仿宋" w:hAnsi="仿宋" w:eastAsia="仿宋" w:cs="仿宋"/>
          <w:color w:val="auto"/>
          <w:spacing w:val="0"/>
          <w:sz w:val="32"/>
          <w:szCs w:val="32"/>
          <w:lang w:eastAsia="zh-CN"/>
        </w:rPr>
        <w:t>根据评估结果，将地震风险划分为重大风险、较大风险、一般风险和低风险四个等级，并建立《向阳区地震安全风险分类</w:t>
      </w:r>
      <w:r>
        <w:rPr>
          <w:rFonts w:hint="default" w:ascii="仿宋" w:hAnsi="仿宋" w:eastAsia="仿宋" w:cs="仿宋"/>
          <w:color w:val="auto"/>
          <w:spacing w:val="0"/>
          <w:sz w:val="32"/>
          <w:szCs w:val="32"/>
          <w:lang w:eastAsia="zh-CN"/>
        </w:rPr>
        <w:t>分级清单》</w:t>
      </w:r>
      <w:r>
        <w:rPr>
          <w:rFonts w:hint="eastAsia" w:eastAsia="宋体"/>
          <w:color w:val="auto"/>
          <w:spacing w:val="0"/>
          <w:lang w:val="en-US" w:eastAsia="zh-CN"/>
        </w:rPr>
        <w:t>，</w:t>
      </w:r>
      <w:r>
        <w:rPr>
          <w:rFonts w:hint="eastAsia" w:ascii="仿宋" w:hAnsi="仿宋" w:eastAsia="仿宋" w:cs="仿宋"/>
          <w:color w:val="auto"/>
          <w:spacing w:val="0"/>
          <w:sz w:val="32"/>
          <w:szCs w:val="32"/>
          <w:lang w:val="en-US" w:eastAsia="zh-CN" w:bidi="zh-CN"/>
        </w:rPr>
        <w:t>分类分级清单由行管部门填写，</w:t>
      </w:r>
      <w:r>
        <w:rPr>
          <w:rFonts w:hint="default" w:ascii="仿宋" w:hAnsi="仿宋" w:eastAsia="仿宋" w:cs="仿宋"/>
          <w:color w:val="auto"/>
          <w:spacing w:val="0"/>
          <w:sz w:val="32"/>
          <w:szCs w:val="32"/>
          <w:lang w:eastAsia="zh-CN"/>
        </w:rPr>
        <w:t>作为精准施策的依据。</w:t>
      </w:r>
    </w:p>
    <w:p w14:paraId="551457F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5" w:name="_Toc25539"/>
      <w:r>
        <w:rPr>
          <w:rFonts w:hint="default" w:ascii="Times New Roman" w:hAnsi="Times New Roman" w:eastAsia="楷体" w:cs="Times New Roman"/>
          <w:b w:val="0"/>
          <w:bCs w:val="0"/>
          <w:color w:val="auto"/>
          <w:spacing w:val="0"/>
          <w:sz w:val="32"/>
          <w:szCs w:val="32"/>
          <w:lang w:eastAsia="zh-CN"/>
        </w:rPr>
        <w:t>（二）风险控制与治理</w:t>
      </w:r>
      <w:bookmarkEnd w:id="15"/>
    </w:p>
    <w:p w14:paraId="088004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根据风险评估结果，实行风险分级管控，采取以下针对性控制措施，优先级从高到低依次为：</w:t>
      </w:r>
    </w:p>
    <w:p w14:paraId="322F59A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1.消除风险：</w:t>
      </w:r>
      <w:r>
        <w:rPr>
          <w:rFonts w:hint="default" w:ascii="仿宋" w:hAnsi="仿宋" w:eastAsia="仿宋" w:cs="仿宋"/>
          <w:color w:val="auto"/>
          <w:spacing w:val="0"/>
          <w:sz w:val="32"/>
          <w:szCs w:val="32"/>
          <w:lang w:eastAsia="zh-CN"/>
        </w:rPr>
        <w:t>优化城市规划布局和产业政策，从源头上消除地震重大风险。对无法消除的地震重大风险或重大危险源，鼓励采用规避、隔离、消除等措施进行处置。</w:t>
      </w:r>
    </w:p>
    <w:p w14:paraId="5D8F05B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2.技术控制：</w:t>
      </w:r>
      <w:r>
        <w:rPr>
          <w:rFonts w:hint="default" w:ascii="仿宋" w:hAnsi="仿宋" w:eastAsia="仿宋" w:cs="仿宋"/>
          <w:color w:val="auto"/>
          <w:spacing w:val="0"/>
          <w:sz w:val="32"/>
          <w:szCs w:val="32"/>
          <w:lang w:eastAsia="zh-CN"/>
        </w:rPr>
        <w:t>在地震风险重点单位、重点场所和重要设施中，加强安全设施建设，如安装自动灭火系统、防洪排涝设施、安全监控报警装置、抗震加固结构等，提升防范水平。</w:t>
      </w:r>
    </w:p>
    <w:p w14:paraId="52DAA06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3.管理控制：</w:t>
      </w:r>
      <w:r>
        <w:rPr>
          <w:rFonts w:hint="default" w:ascii="仿宋" w:hAnsi="仿宋" w:eastAsia="仿宋" w:cs="仿宋"/>
          <w:color w:val="auto"/>
          <w:spacing w:val="0"/>
          <w:sz w:val="32"/>
          <w:szCs w:val="32"/>
          <w:lang w:eastAsia="zh-CN"/>
        </w:rPr>
        <w:t>各行业主管部门、企事业单位和基层行政单位应建立健全地震安全管理制度、设备设施操作规程和地震应急预案。</w:t>
      </w:r>
    </w:p>
    <w:p w14:paraId="2848A3B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4.分级负责：</w:t>
      </w:r>
      <w:r>
        <w:rPr>
          <w:rFonts w:hint="default" w:ascii="仿宋" w:hAnsi="仿宋" w:eastAsia="仿宋" w:cs="仿宋"/>
          <w:color w:val="auto"/>
          <w:spacing w:val="0"/>
          <w:sz w:val="32"/>
          <w:szCs w:val="32"/>
          <w:lang w:eastAsia="zh-CN"/>
        </w:rPr>
        <w:t>落实属地管理和行业监管责任。地震重大风险由区政府和区</w:t>
      </w:r>
      <w:r>
        <w:rPr>
          <w:rFonts w:hint="eastAsia" w:ascii="仿宋" w:hAnsi="仿宋" w:eastAsia="仿宋" w:cs="仿宋"/>
          <w:color w:val="auto"/>
          <w:spacing w:val="0"/>
          <w:sz w:val="32"/>
          <w:szCs w:val="32"/>
          <w:lang w:val="en-US" w:eastAsia="zh-CN"/>
        </w:rPr>
        <w:t>行业</w:t>
      </w:r>
      <w:r>
        <w:rPr>
          <w:rFonts w:hint="eastAsia" w:ascii="仿宋" w:hAnsi="仿宋" w:eastAsia="仿宋" w:cs="仿宋"/>
          <w:color w:val="auto"/>
          <w:spacing w:val="0"/>
          <w:sz w:val="32"/>
          <w:szCs w:val="32"/>
          <w:lang w:eastAsia="zh-CN"/>
        </w:rPr>
        <w:t>主管</w:t>
      </w:r>
      <w:r>
        <w:rPr>
          <w:rFonts w:hint="default" w:ascii="仿宋" w:hAnsi="仿宋" w:eastAsia="仿宋" w:cs="仿宋"/>
          <w:color w:val="auto"/>
          <w:spacing w:val="0"/>
          <w:sz w:val="32"/>
          <w:szCs w:val="32"/>
          <w:lang w:eastAsia="zh-CN"/>
        </w:rPr>
        <w:t>部门重点管控；较大及一般风险由相关部门负责监管，各街道办事处负责问题发现后上报，并配合相关部门做好问题处置以及跟踪后续整改工作；企事业单位落实主体责任，管控本单位风险。</w:t>
      </w:r>
    </w:p>
    <w:p w14:paraId="05BCF5C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5.隐患排查：</w:t>
      </w:r>
      <w:r>
        <w:rPr>
          <w:rFonts w:hint="default" w:ascii="仿宋" w:hAnsi="仿宋" w:eastAsia="仿宋" w:cs="仿宋"/>
          <w:color w:val="auto"/>
          <w:spacing w:val="0"/>
          <w:sz w:val="32"/>
          <w:szCs w:val="32"/>
          <w:lang w:eastAsia="zh-CN"/>
        </w:rPr>
        <w:t>建立常态化地震隐患排查治理机制，对发现的隐患建立台账，明确责任，限期整改，实现闭环管理。</w:t>
      </w:r>
    </w:p>
    <w:p w14:paraId="3D2D8E6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6.应急准备：</w:t>
      </w:r>
      <w:r>
        <w:rPr>
          <w:rFonts w:hint="default" w:ascii="仿宋" w:hAnsi="仿宋" w:eastAsia="仿宋" w:cs="仿宋"/>
          <w:color w:val="auto"/>
          <w:spacing w:val="0"/>
          <w:sz w:val="32"/>
          <w:szCs w:val="32"/>
          <w:lang w:eastAsia="zh-CN"/>
        </w:rPr>
        <w:t>对于无法彻底消除的地震风险，通过编制地震应急预案、储备应急物资、加强应急演练、建设应急队伍等措施，做好应急准备，降低事件发生后的损失。</w:t>
      </w:r>
    </w:p>
    <w:p w14:paraId="17BD380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7.宣传与培训：</w:t>
      </w:r>
      <w:r>
        <w:rPr>
          <w:rFonts w:hint="default" w:ascii="仿宋" w:hAnsi="仿宋" w:eastAsia="仿宋" w:cs="仿宋"/>
          <w:color w:val="auto"/>
          <w:spacing w:val="0"/>
          <w:sz w:val="32"/>
          <w:szCs w:val="32"/>
          <w:lang w:eastAsia="zh-CN"/>
        </w:rPr>
        <w:t>加强地震公共安全宣传教育，普及风险防范、避险逃生、自救互救知识和技能，提高全社会风险意识和应对能力。</w:t>
      </w:r>
    </w:p>
    <w:p w14:paraId="511BFF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6" w:name="_Toc26636"/>
      <w:r>
        <w:rPr>
          <w:rFonts w:hint="default" w:ascii="Times New Roman" w:hAnsi="Times New Roman" w:eastAsia="楷体" w:cs="Times New Roman"/>
          <w:b w:val="0"/>
          <w:bCs w:val="0"/>
          <w:color w:val="auto"/>
          <w:spacing w:val="0"/>
          <w:sz w:val="32"/>
          <w:szCs w:val="32"/>
          <w:lang w:eastAsia="zh-CN"/>
        </w:rPr>
        <w:t>（三）监控与更新</w:t>
      </w:r>
      <w:bookmarkEnd w:id="16"/>
    </w:p>
    <w:p w14:paraId="3A21BA2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1.动态监测：</w:t>
      </w:r>
      <w:r>
        <w:rPr>
          <w:rFonts w:hint="eastAsia" w:ascii="仿宋" w:hAnsi="仿宋" w:eastAsia="仿宋" w:cs="仿宋"/>
          <w:color w:val="auto"/>
          <w:spacing w:val="0"/>
          <w:sz w:val="32"/>
          <w:szCs w:val="32"/>
          <w:lang w:eastAsia="zh-CN"/>
        </w:rPr>
        <w:t>利用物联网、大数据等现代信息技术，对重大风险和重点危险源进行动态监测和跟踪。各有关部门应定期对职责范围内的风险管控措施落实情况进行监督检查，各街道办事处配合有关部门开展检查工作，发现问题后立即上报。</w:t>
      </w:r>
    </w:p>
    <w:p w14:paraId="3AEE682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2.定期评审：</w:t>
      </w:r>
      <w:r>
        <w:rPr>
          <w:rFonts w:hint="default" w:ascii="仿宋" w:hAnsi="仿宋" w:eastAsia="仿宋" w:cs="仿宋"/>
          <w:color w:val="auto"/>
          <w:spacing w:val="0"/>
          <w:sz w:val="32"/>
          <w:szCs w:val="32"/>
          <w:lang w:eastAsia="zh-CN"/>
        </w:rPr>
        <w:t>建立风险动态评估机制。区政府定期组织全区地震风险形势分析会商。当出现法律法规变化、城市规划调整、产业结构升级、重要设施建设等情形时，应及时组织重新评估，更新风险清单与管控措施。</w:t>
      </w:r>
    </w:p>
    <w:p w14:paraId="671F0DD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17" w:name="_Toc31221"/>
      <w:r>
        <w:rPr>
          <w:rFonts w:hint="default" w:ascii="Times New Roman" w:hAnsi="Times New Roman" w:eastAsia="黑体" w:cs="Times New Roman"/>
          <w:color w:val="auto"/>
          <w:spacing w:val="0"/>
          <w:sz w:val="32"/>
          <w:szCs w:val="32"/>
          <w:lang w:eastAsia="zh-CN"/>
        </w:rPr>
        <w:t>五、信息报送</w:t>
      </w:r>
      <w:bookmarkEnd w:id="17"/>
    </w:p>
    <w:p w14:paraId="2D62D1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8" w:name="_Toc24027"/>
      <w:r>
        <w:rPr>
          <w:rFonts w:hint="default" w:ascii="Times New Roman" w:hAnsi="Times New Roman" w:eastAsia="楷体" w:cs="Times New Roman"/>
          <w:b w:val="0"/>
          <w:bCs w:val="0"/>
          <w:color w:val="auto"/>
          <w:spacing w:val="0"/>
          <w:sz w:val="32"/>
          <w:szCs w:val="32"/>
          <w:lang w:eastAsia="zh-CN"/>
        </w:rPr>
        <w:t>（一）震情速报</w:t>
      </w:r>
      <w:bookmarkEnd w:id="18"/>
    </w:p>
    <w:p w14:paraId="4301EC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地震发生后，街道办事处、村屯10分钟内收集信息，上报区委、区政府、区应急局。</w:t>
      </w:r>
    </w:p>
    <w:p w14:paraId="3BE34D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区应急局立即协调市应急局，确定地震信息，反馈报告单位、区抗震救灾指挥部。</w:t>
      </w:r>
    </w:p>
    <w:p w14:paraId="1A28935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9" w:name="_Toc17270"/>
      <w:r>
        <w:rPr>
          <w:rFonts w:hint="default" w:ascii="Times New Roman" w:hAnsi="Times New Roman" w:eastAsia="楷体" w:cs="Times New Roman"/>
          <w:b w:val="0"/>
          <w:bCs w:val="0"/>
          <w:color w:val="auto"/>
          <w:spacing w:val="0"/>
          <w:sz w:val="32"/>
          <w:szCs w:val="32"/>
          <w:lang w:eastAsia="zh-CN"/>
        </w:rPr>
        <w:t>（二）灾情报告</w:t>
      </w:r>
      <w:bookmarkEnd w:id="19"/>
    </w:p>
    <w:p w14:paraId="21AA074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地震灾情速报内容包括震感程度、破坏范围、人员伤亡、经济损失和社会影响等。</w:t>
      </w:r>
    </w:p>
    <w:p w14:paraId="12E583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地震发生后，灾区所在街道办事处、村屯及时将灾情、社情等信息报区应急管理局，必要时可越级上报。</w:t>
      </w:r>
    </w:p>
    <w:p w14:paraId="09E686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初判为一般地震灾害后，区抗震救灾指挥部办公室要在地震发生后2小时内向区委、区政府报告信息。</w:t>
      </w:r>
    </w:p>
    <w:p w14:paraId="6BD03E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初判为较大及以上地震灾害后，区抗震救灾指挥部办公室应迅速组织灾情收集、分析研判，报区委、区政府、市抗震救灾指挥部，并及时续报。</w:t>
      </w:r>
    </w:p>
    <w:p w14:paraId="2F05FDA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区水务局、自然资源和规划局一分局分别迅速了解水利设施破坏情况，报区抗震救灾指挥部办公室。公安、住建、教育、卫生健康等有关部门及时将收集了解的情况报区抗震救灾指挥部办公室。</w:t>
      </w:r>
    </w:p>
    <w:p w14:paraId="13E034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发现地震伤亡、失踪或被困人员有港澳台人员或外国人，相关单位要迅速核实并报区抗震救灾指挥部办公室，由区抗震救灾指挥部报告市应急局和外事部门。</w:t>
      </w:r>
    </w:p>
    <w:p w14:paraId="1B58527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0" w:name="_Toc1077"/>
      <w:r>
        <w:rPr>
          <w:rFonts w:hint="default" w:ascii="Times New Roman" w:hAnsi="Times New Roman" w:eastAsia="楷体" w:cs="Times New Roman"/>
          <w:b w:val="0"/>
          <w:bCs w:val="0"/>
          <w:color w:val="auto"/>
          <w:spacing w:val="0"/>
          <w:sz w:val="32"/>
          <w:szCs w:val="32"/>
          <w:lang w:eastAsia="zh-CN"/>
        </w:rPr>
        <w:t>（三）信息发布和报道</w:t>
      </w:r>
      <w:bookmarkEnd w:id="20"/>
    </w:p>
    <w:p w14:paraId="266116D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1.接收到市应急局、市抗震救灾指挥部发布的预警信息后，区抗震救灾指挥部应立即通过网络、新闻媒体、广播电视、信息平台等渠道将信息发布到居民。</w:t>
      </w:r>
    </w:p>
    <w:p w14:paraId="75B728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2.地震发生后30分钟内，区抗震救灾指挥部通过网络、新闻媒体、信息平台等渠道公告地震发生的时间、地点和震级，适时公告初步灾情和经省、市应急局审定的震情趋势判定意见。</w:t>
      </w:r>
    </w:p>
    <w:p w14:paraId="0EA703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3.区抗震救灾指挥部通过网络、新闻媒体、信息平台等，适时向社会发布震情灾情和抗震救灾信息。</w:t>
      </w:r>
    </w:p>
    <w:p w14:paraId="384774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21" w:name="_Toc15606"/>
      <w:r>
        <w:rPr>
          <w:rFonts w:hint="default" w:ascii="Times New Roman" w:hAnsi="Times New Roman" w:eastAsia="黑体" w:cs="Times New Roman"/>
          <w:color w:val="auto"/>
          <w:spacing w:val="0"/>
          <w:sz w:val="32"/>
          <w:szCs w:val="32"/>
          <w:lang w:eastAsia="zh-CN"/>
        </w:rPr>
        <w:t>六、应急响应</w:t>
      </w:r>
      <w:bookmarkEnd w:id="21"/>
    </w:p>
    <w:p w14:paraId="283C03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2" w:name="_Toc29348"/>
      <w:r>
        <w:rPr>
          <w:rFonts w:hint="default" w:ascii="Times New Roman" w:hAnsi="Times New Roman" w:eastAsia="楷体" w:cs="Times New Roman"/>
          <w:b w:val="0"/>
          <w:bCs w:val="0"/>
          <w:color w:val="auto"/>
          <w:spacing w:val="0"/>
          <w:sz w:val="32"/>
          <w:szCs w:val="32"/>
          <w:lang w:eastAsia="zh-CN"/>
        </w:rPr>
        <w:t>（一）指挥机构成立</w:t>
      </w:r>
      <w:bookmarkEnd w:id="22"/>
    </w:p>
    <w:p w14:paraId="215A15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抗震救灾指挥部成员接到启动应急响应的信息后，迅速赶到区抗震救灾指挥部。</w:t>
      </w:r>
    </w:p>
    <w:p w14:paraId="17F8907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1.响应条件：</w:t>
      </w:r>
      <w:r>
        <w:rPr>
          <w:rFonts w:hint="default" w:ascii="仿宋" w:hAnsi="仿宋" w:eastAsia="仿宋" w:cs="仿宋"/>
          <w:color w:val="auto"/>
          <w:spacing w:val="0"/>
          <w:sz w:val="32"/>
          <w:szCs w:val="32"/>
          <w:lang w:eastAsia="zh-CN"/>
        </w:rPr>
        <w:t>接到手机短信、电话通知或本地震感强烈且有房屋倒塌现象。</w:t>
      </w:r>
    </w:p>
    <w:p w14:paraId="35CC114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2.响应手机短信群发约定：</w:t>
      </w:r>
      <w:r>
        <w:rPr>
          <w:rFonts w:hint="default" w:ascii="仿宋" w:hAnsi="仿宋" w:eastAsia="仿宋" w:cs="仿宋"/>
          <w:color w:val="auto"/>
          <w:spacing w:val="0"/>
          <w:sz w:val="32"/>
          <w:szCs w:val="32"/>
          <w:lang w:eastAsia="zh-CN"/>
        </w:rPr>
        <w:t>一级应急响应为“11111”，二级应急响应为“22222”，三级应急响应为“33333”，四级应急响应为“44444”。</w:t>
      </w:r>
    </w:p>
    <w:p w14:paraId="70C0CDE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3.抗震救灾指挥部地点：</w:t>
      </w:r>
      <w:r>
        <w:rPr>
          <w:rFonts w:hint="default" w:ascii="仿宋" w:hAnsi="仿宋" w:eastAsia="仿宋" w:cs="仿宋"/>
          <w:color w:val="auto"/>
          <w:spacing w:val="0"/>
          <w:sz w:val="32"/>
          <w:szCs w:val="32"/>
          <w:lang w:eastAsia="zh-CN"/>
        </w:rPr>
        <w:t>区应急局</w:t>
      </w:r>
    </w:p>
    <w:p w14:paraId="2FA703D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4.抗震救灾指挥部备用地点：</w:t>
      </w:r>
      <w:r>
        <w:rPr>
          <w:rFonts w:hint="default" w:ascii="仿宋" w:hAnsi="仿宋" w:eastAsia="仿宋" w:cs="仿宋"/>
          <w:color w:val="auto"/>
          <w:spacing w:val="0"/>
          <w:sz w:val="32"/>
          <w:szCs w:val="32"/>
          <w:lang w:eastAsia="zh-CN"/>
        </w:rPr>
        <w:t>向阳公安分局110指挥室或区政府设立的工作帐篷。</w:t>
      </w:r>
    </w:p>
    <w:p w14:paraId="354AED2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5.时限要求：</w:t>
      </w:r>
      <w:r>
        <w:rPr>
          <w:rFonts w:hint="default" w:ascii="仿宋" w:hAnsi="仿宋" w:eastAsia="仿宋" w:cs="仿宋"/>
          <w:color w:val="auto"/>
          <w:spacing w:val="0"/>
          <w:sz w:val="32"/>
          <w:szCs w:val="32"/>
          <w:lang w:eastAsia="zh-CN"/>
        </w:rPr>
        <w:t>地震发生后1小时内。</w:t>
      </w:r>
    </w:p>
    <w:p w14:paraId="1678C4C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3" w:name="_Toc32503"/>
      <w:r>
        <w:rPr>
          <w:rFonts w:hint="default" w:ascii="Times New Roman" w:hAnsi="Times New Roman" w:eastAsia="楷体" w:cs="Times New Roman"/>
          <w:b w:val="0"/>
          <w:bCs w:val="0"/>
          <w:color w:val="auto"/>
          <w:spacing w:val="0"/>
          <w:sz w:val="32"/>
          <w:szCs w:val="32"/>
          <w:lang w:eastAsia="zh-CN"/>
        </w:rPr>
        <w:t>（二）四级应急响应</w:t>
      </w:r>
      <w:bookmarkEnd w:id="23"/>
    </w:p>
    <w:p w14:paraId="3222482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1.街道办事处、街道先期应急处置</w:t>
      </w:r>
    </w:p>
    <w:p w14:paraId="683616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地震发生后，街道办事处、村屯立即按照地震应急预案组织开展先期处置，主要应急措施包括：</w:t>
      </w:r>
    </w:p>
    <w:p w14:paraId="7E0AC1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（1）启动应急响应，成立抗震救灾现场领导小组，立即按职责开展工作。</w:t>
      </w:r>
    </w:p>
    <w:p w14:paraId="7DBA05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（2）对地震灾害的影响范围、灾害程度、灾害特点进行快速收集和评估，迅速上报区抗震救灾指挥部办公室，特殊情况下可越级上报，并对灾情实行动态监测、核实。</w:t>
      </w:r>
    </w:p>
    <w:p w14:paraId="6479AC9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（3）立即实施紧急疏散与救援，发动基层干部群众开展自救与互救。</w:t>
      </w:r>
    </w:p>
    <w:p w14:paraId="2AE02EB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2.区抗震救灾指挥部应急处置</w:t>
      </w:r>
    </w:p>
    <w:p w14:paraId="756C41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区抗震救灾指挥部启动本预案，立即组织开展应急处置，主要应急措施包括：</w:t>
      </w:r>
    </w:p>
    <w:p w14:paraId="552609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（1）区抗震救灾指挥部成员单位迅速收集、汇总灾情，上报区应急局。区应急局汇总后向区抗震救灾指挥部汇报。</w:t>
      </w:r>
    </w:p>
    <w:p w14:paraId="2F41A97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（2）区抗震救灾指挥部向区委、区政府、市抗震救灾指挥部报告震情灾情。</w:t>
      </w:r>
    </w:p>
    <w:p w14:paraId="050F50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（3）抢险救援组根据灾情统筹配置抢险救援力量，编成救援分区。组织救援队伍赶赴灾区，与街道办事处、村屯组织的群众救援队伍一起抢救被埋压的幸存者和被困群众。</w:t>
      </w:r>
    </w:p>
    <w:p w14:paraId="378BC01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（4）组织公路交通抢险队伍，开展道路抢通、交通疏导，视情实施交通管制；组织应急通信和电力抢险队伍，优先保障抗震救灾指挥部、医院等重要场所的应急通信和供电。</w:t>
      </w:r>
    </w:p>
    <w:p w14:paraId="075592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（5）组织部署灾民转移和安置，紧急处置伤亡人员和灾区卫生防疫。</w:t>
      </w:r>
    </w:p>
    <w:p w14:paraId="78F4E32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（6）紧急征用、调配全区应急资源。组织调运救灾帐篷、生活必需品等救灾物资，保障受灾群众的衣、食、住等基本生活需要。</w:t>
      </w:r>
    </w:p>
    <w:p w14:paraId="65BC2B6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（7）加强重要目标警戒和治安管理，预防和打击各种违法犯罪活动，维护社会稳定。</w:t>
      </w:r>
    </w:p>
    <w:p w14:paraId="7EDB25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（8）对可能产生重大次生灾害的重要目标进行紧急排查，划定警戒区域，采取管制、限制措施，并向社会发出避险警告。</w:t>
      </w:r>
    </w:p>
    <w:p w14:paraId="3834DA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（9）必要时向市抗震救灾指挥部办公室提出专业技术力量、救援队伍、抗震救灾物资装备的支援请求。</w:t>
      </w:r>
    </w:p>
    <w:p w14:paraId="5EA9242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4" w:name="_Toc10844"/>
      <w:r>
        <w:rPr>
          <w:rFonts w:hint="default" w:ascii="Times New Roman" w:hAnsi="Times New Roman" w:eastAsia="楷体" w:cs="Times New Roman"/>
          <w:b w:val="0"/>
          <w:bCs w:val="0"/>
          <w:color w:val="auto"/>
          <w:spacing w:val="0"/>
          <w:sz w:val="32"/>
          <w:szCs w:val="32"/>
          <w:lang w:eastAsia="zh-CN"/>
        </w:rPr>
        <w:t>（三）三级应急响应</w:t>
      </w:r>
      <w:bookmarkEnd w:id="24"/>
    </w:p>
    <w:p w14:paraId="19DBEEB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bookmarkStart w:id="25" w:name="_Toc7297"/>
      <w:r>
        <w:rPr>
          <w:rFonts w:hint="eastAsia" w:ascii="仿宋" w:hAnsi="仿宋" w:eastAsia="仿宋" w:cs="仿宋"/>
          <w:color w:val="auto"/>
          <w:spacing w:val="0"/>
          <w:sz w:val="32"/>
          <w:szCs w:val="32"/>
          <w:lang w:eastAsia="zh-CN"/>
        </w:rPr>
        <w:t>在采取四级响应处置措施的基础上，区抗震救灾指挥部成立现场指挥部，指挥、调动全区人员、救援物资开展抗震救灾行动。</w:t>
      </w:r>
      <w:bookmarkEnd w:id="25"/>
    </w:p>
    <w:p w14:paraId="25629FF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1.区抗震救灾指挥部及时向区委、区政府、市抗震救灾指挥部报告灾情和救灾需求。</w:t>
      </w:r>
    </w:p>
    <w:p w14:paraId="539F1E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2.震后立即依法实施交通管制，保证持证救灾专用车辆优先通行，限制民用车辆、大型车辆进入灾区。向市抗震救灾指挥机构实时报告道路通行状况。</w:t>
      </w:r>
    </w:p>
    <w:p w14:paraId="1A6493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3.区抗震救灾指挥部应做好各救援队伍、救援物资的交接、安置、分配工作。</w:t>
      </w:r>
    </w:p>
    <w:p w14:paraId="1F6BC1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4.在通信设施损坏或通信受阻情况下，迅速启动备用信道、采取应急措施，保证通信畅通。</w:t>
      </w:r>
    </w:p>
    <w:p w14:paraId="03DFDE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5.组织力量抢修通信、电力、交通、供水、供气、广播电视等基础设施。</w:t>
      </w:r>
    </w:p>
    <w:p w14:paraId="3E6D82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6.组织开展房屋、校舍安全性鉴定和重要基础设施隐患排查，采取措施防范次生灾害。</w:t>
      </w:r>
    </w:p>
    <w:p w14:paraId="0A3B617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7.做好抗震救灾信息报告和宣传报道工作，正确引导社会舆论。</w:t>
      </w:r>
    </w:p>
    <w:p w14:paraId="23180A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8.执行市抗震救灾指挥部下达的任务</w:t>
      </w:r>
      <w:r>
        <w:rPr>
          <w:rFonts w:hint="eastAsia" w:ascii="仿宋" w:hAnsi="仿宋" w:eastAsia="仿宋" w:cs="仿宋"/>
          <w:color w:val="auto"/>
          <w:spacing w:val="0"/>
          <w:sz w:val="32"/>
          <w:szCs w:val="32"/>
          <w:lang w:eastAsia="zh-CN"/>
        </w:rPr>
        <w:t>。</w:t>
      </w:r>
      <w:r>
        <w:rPr>
          <w:rFonts w:hint="default" w:ascii="仿宋" w:hAnsi="仿宋" w:eastAsia="仿宋" w:cs="仿宋"/>
          <w:color w:val="auto"/>
          <w:spacing w:val="0"/>
          <w:sz w:val="32"/>
          <w:szCs w:val="32"/>
          <w:lang w:eastAsia="zh-CN"/>
        </w:rPr>
        <w:t>需要市政府支持的事项，由区政府向市政府提出</w:t>
      </w:r>
      <w:r>
        <w:rPr>
          <w:rFonts w:hint="eastAsia" w:ascii="仿宋" w:hAnsi="仿宋" w:eastAsia="仿宋" w:cs="仿宋"/>
          <w:color w:val="auto"/>
          <w:spacing w:val="0"/>
          <w:sz w:val="32"/>
          <w:szCs w:val="32"/>
          <w:lang w:val="en-US" w:eastAsia="zh-CN"/>
        </w:rPr>
        <w:t>申请</w:t>
      </w:r>
      <w:r>
        <w:rPr>
          <w:rFonts w:hint="default" w:ascii="仿宋" w:hAnsi="仿宋" w:eastAsia="仿宋" w:cs="仿宋"/>
          <w:color w:val="auto"/>
          <w:spacing w:val="0"/>
          <w:sz w:val="32"/>
          <w:szCs w:val="32"/>
          <w:lang w:eastAsia="zh-CN"/>
        </w:rPr>
        <w:t>。</w:t>
      </w:r>
    </w:p>
    <w:p w14:paraId="6C5871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6" w:name="_Toc28098"/>
      <w:r>
        <w:rPr>
          <w:rFonts w:hint="default" w:ascii="Times New Roman" w:hAnsi="Times New Roman" w:eastAsia="楷体" w:cs="Times New Roman"/>
          <w:b w:val="0"/>
          <w:bCs w:val="0"/>
          <w:color w:val="auto"/>
          <w:spacing w:val="0"/>
          <w:sz w:val="32"/>
          <w:szCs w:val="32"/>
          <w:lang w:eastAsia="zh-CN"/>
        </w:rPr>
        <w:t>（四）一级、二级应急响应</w:t>
      </w:r>
      <w:bookmarkEnd w:id="26"/>
    </w:p>
    <w:p w14:paraId="181285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1.在采取三级响应各项处置措施的基础上，听从国家、省级抗震救灾指挥部的指挥，与省内、国内应急救援队伍密切合作，开展抗震救灾工作。</w:t>
      </w:r>
    </w:p>
    <w:p w14:paraId="19859F2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2.周密考虑救援队伍和市抗震救灾指挥部现场指挥机构的条件保障，在指导帮助救援人员准备营地时，组织搭建临时厕所等卫生设施。</w:t>
      </w:r>
    </w:p>
    <w:p w14:paraId="3636831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3.加强信息报告，及时与省、市抗震救灾指挥部、现场指挥机构通报信息。</w:t>
      </w:r>
    </w:p>
    <w:p w14:paraId="644EE0F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7" w:name="_Toc28351"/>
      <w:r>
        <w:rPr>
          <w:rFonts w:hint="default" w:ascii="Times New Roman" w:hAnsi="Times New Roman" w:eastAsia="楷体" w:cs="Times New Roman"/>
          <w:b w:val="0"/>
          <w:bCs w:val="0"/>
          <w:color w:val="auto"/>
          <w:spacing w:val="0"/>
          <w:sz w:val="32"/>
          <w:szCs w:val="32"/>
          <w:lang w:eastAsia="zh-CN"/>
        </w:rPr>
        <w:t>（五）指挥和协调</w:t>
      </w:r>
      <w:bookmarkEnd w:id="27"/>
    </w:p>
    <w:p w14:paraId="411A44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1.区抗震救灾指挥部负责地震灾害救援行动的指挥协调。</w:t>
      </w:r>
    </w:p>
    <w:p w14:paraId="27C275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2.各类救援队伍到达灾区后，区抗震救灾指挥部按照部署派联络员将其送往不同的分区。</w:t>
      </w:r>
    </w:p>
    <w:p w14:paraId="6A3220D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3.各类救援队伍到达指定区域后向现场指挥部领受任务，联络员与其共同参加抗震救灾工作，做好沟通、协调工作。</w:t>
      </w:r>
    </w:p>
    <w:p w14:paraId="2022D6F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4.任务完成后，经现场指挥部同意撤离或转场后，联络员应按指挥将其带往指定位置。</w:t>
      </w:r>
    </w:p>
    <w:p w14:paraId="739D62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5.按地震灾害应急响应级别确定指挥级别。</w:t>
      </w:r>
    </w:p>
    <w:p w14:paraId="77E043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8" w:name="_Toc30320"/>
      <w:r>
        <w:rPr>
          <w:rFonts w:hint="default" w:ascii="Times New Roman" w:hAnsi="Times New Roman" w:eastAsia="楷体" w:cs="Times New Roman"/>
          <w:b w:val="0"/>
          <w:bCs w:val="0"/>
          <w:color w:val="auto"/>
          <w:spacing w:val="0"/>
          <w:sz w:val="32"/>
          <w:szCs w:val="32"/>
          <w:lang w:eastAsia="zh-CN"/>
        </w:rPr>
        <w:t>（六）社会力量动员</w:t>
      </w:r>
      <w:bookmarkEnd w:id="28"/>
    </w:p>
    <w:p w14:paraId="719889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区抗震救灾指挥部指定专门的机构或人员，加强志愿者组织和管理，根据灾区需要、交通运输等情况，组织志愿者安全、有序参加救援。</w:t>
      </w:r>
    </w:p>
    <w:p w14:paraId="03E26B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9" w:name="_Toc15060"/>
      <w:r>
        <w:rPr>
          <w:rFonts w:hint="default" w:ascii="Times New Roman" w:hAnsi="Times New Roman" w:eastAsia="楷体" w:cs="Times New Roman"/>
          <w:b w:val="0"/>
          <w:bCs w:val="0"/>
          <w:color w:val="auto"/>
          <w:spacing w:val="0"/>
          <w:sz w:val="32"/>
          <w:szCs w:val="32"/>
          <w:lang w:eastAsia="zh-CN"/>
        </w:rPr>
        <w:t>（七）新闻报道</w:t>
      </w:r>
      <w:bookmarkEnd w:id="29"/>
    </w:p>
    <w:p w14:paraId="2042CFA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信息发布由区委、区政府</w:t>
      </w:r>
      <w:r>
        <w:rPr>
          <w:rFonts w:hint="eastAsia" w:ascii="仿宋" w:hAnsi="仿宋" w:eastAsia="仿宋" w:cs="仿宋"/>
          <w:color w:val="auto"/>
          <w:spacing w:val="0"/>
          <w:sz w:val="32"/>
          <w:szCs w:val="32"/>
          <w:highlight w:val="none"/>
          <w:lang w:val="en-US" w:eastAsia="zh-CN"/>
        </w:rPr>
        <w:t>研究决定</w:t>
      </w:r>
      <w:r>
        <w:rPr>
          <w:rFonts w:hint="eastAsia" w:ascii="仿宋" w:hAnsi="仿宋" w:eastAsia="仿宋" w:cs="仿宋"/>
          <w:color w:val="auto"/>
          <w:spacing w:val="0"/>
          <w:sz w:val="32"/>
          <w:szCs w:val="32"/>
          <w:highlight w:val="none"/>
          <w:lang w:eastAsia="zh-CN"/>
        </w:rPr>
        <w:t>。</w:t>
      </w:r>
    </w:p>
    <w:p w14:paraId="3E256F2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坚持实事求是、及时准确、公开透明原则。</w:t>
      </w:r>
    </w:p>
    <w:p w14:paraId="3D25B5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发布形式包括授权发布、组织新闻报道、接受记者采访、新闻发布会等。统一组织发布灾情和抗震救灾信息</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其中，</w:t>
      </w:r>
      <w:r>
        <w:rPr>
          <w:rFonts w:hint="default" w:ascii="仿宋" w:hAnsi="仿宋" w:eastAsia="仿宋" w:cs="仿宋"/>
          <w:color w:val="auto"/>
          <w:spacing w:val="0"/>
          <w:sz w:val="32"/>
          <w:szCs w:val="32"/>
          <w:lang w:eastAsia="zh-CN"/>
        </w:rPr>
        <w:t>三级、二级、一级灾区报道信息的发布，应经过上级抗震救灾指挥人员的批准。</w:t>
      </w:r>
    </w:p>
    <w:p w14:paraId="6AB9B83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0" w:name="_Toc10481"/>
      <w:r>
        <w:rPr>
          <w:rFonts w:hint="default" w:ascii="Times New Roman" w:hAnsi="Times New Roman" w:eastAsia="楷体" w:cs="Times New Roman"/>
          <w:b w:val="0"/>
          <w:bCs w:val="0"/>
          <w:color w:val="auto"/>
          <w:spacing w:val="0"/>
          <w:sz w:val="32"/>
          <w:szCs w:val="32"/>
          <w:lang w:eastAsia="zh-CN"/>
        </w:rPr>
        <w:t>（八）应急结束</w:t>
      </w:r>
      <w:bookmarkEnd w:id="30"/>
    </w:p>
    <w:p w14:paraId="71DD55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抢险救灾工作基本结束、紧急转移和安置工作基本完成，地震次生灾害的后果基本消除，交通、电力、通信和供水等基础设施以及灾区生活秩序基本恢复后，经市应急局根据震情趋势判断得出近期无发生大震的可能，根据不同响应级别，分别由省、市、区抗震救灾指挥部适时宣布终止应急响应。</w:t>
      </w:r>
    </w:p>
    <w:p w14:paraId="53176E1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1" w:name="_Toc942"/>
      <w:r>
        <w:rPr>
          <w:rFonts w:hint="default" w:ascii="Times New Roman" w:hAnsi="Times New Roman" w:eastAsia="楷体" w:cs="Times New Roman"/>
          <w:b w:val="0"/>
          <w:bCs w:val="0"/>
          <w:color w:val="auto"/>
          <w:spacing w:val="0"/>
          <w:sz w:val="32"/>
          <w:szCs w:val="32"/>
          <w:lang w:eastAsia="zh-CN"/>
        </w:rPr>
        <w:t>（九）善后处置</w:t>
      </w:r>
      <w:bookmarkEnd w:id="31"/>
    </w:p>
    <w:p w14:paraId="44E81F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地震结束后，抗震救灾指挥部负责组织各街道办事处、村屯及有关部门对地震灾害事件中伤亡人员、参与应急救援工作人员进行统计，按照相关规定给予救助、抚恤、补助，并对受灾人员提供心理援助；组织民政、住建、发改等部门制定和落实灾民过渡性安置方案；协调各保险机构及时做好理赔工作。</w:t>
      </w:r>
    </w:p>
    <w:p w14:paraId="17FD4C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2.参加应急救援工作的部门、单位要认真组织清理、修复、归还因救灾而紧急调集、征用的设施、设备、器材和物资，造成损坏或者无法归还的，按照国家有关规定给予适当补偿。</w:t>
      </w:r>
    </w:p>
    <w:p w14:paraId="6B6FD5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2" w:name="_Toc16232"/>
      <w:r>
        <w:rPr>
          <w:rFonts w:hint="default" w:ascii="Times New Roman" w:hAnsi="Times New Roman" w:eastAsia="楷体" w:cs="Times New Roman"/>
          <w:b w:val="0"/>
          <w:bCs w:val="0"/>
          <w:color w:val="auto"/>
          <w:spacing w:val="0"/>
          <w:sz w:val="32"/>
          <w:szCs w:val="32"/>
          <w:lang w:eastAsia="zh-CN"/>
        </w:rPr>
        <w:t>（十）应急响应调查与总结</w:t>
      </w:r>
      <w:bookmarkEnd w:id="32"/>
    </w:p>
    <w:p w14:paraId="3C6A2C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救援工作结束后，履行抗震救灾应急工作职责的部门、街道办事处、村屯等要对抗震救灾应急响应过程中的协调指挥、组织实施、预案执行等情况进行调查、总结，并以书面形式上报区抗震救灾指挥部办公室。</w:t>
      </w:r>
    </w:p>
    <w:p w14:paraId="503393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33" w:name="_Toc14041"/>
      <w:r>
        <w:rPr>
          <w:rFonts w:hint="default" w:ascii="Times New Roman" w:hAnsi="Times New Roman" w:eastAsia="黑体" w:cs="Times New Roman"/>
          <w:color w:val="auto"/>
          <w:spacing w:val="0"/>
          <w:sz w:val="32"/>
          <w:szCs w:val="32"/>
          <w:lang w:eastAsia="zh-CN"/>
        </w:rPr>
        <w:t>七、恢复重建</w:t>
      </w:r>
      <w:bookmarkEnd w:id="33"/>
    </w:p>
    <w:p w14:paraId="65A76D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地震灾害发生后，区政府按照省、市政府组织编制并批准的灾后恢复重建计划组织落实。区应急局会同区住建局、自然资源和规划局一分局等有关部门共同研究提供地震灾区重建选址意见和灾区重建详细规划意见。</w:t>
      </w:r>
    </w:p>
    <w:p w14:paraId="631FE67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区政府根据灾后恢复重建规划和经济社会发展水平，有计划、分步骤地组织实施灾后恢复重建。必要时请求市政府对灾区恢复重建规划的实施给予支持和指导。</w:t>
      </w:r>
    </w:p>
    <w:p w14:paraId="59D95AD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34" w:name="_Toc25948"/>
      <w:r>
        <w:rPr>
          <w:rFonts w:hint="default" w:ascii="Times New Roman" w:hAnsi="Times New Roman" w:eastAsia="黑体" w:cs="Times New Roman"/>
          <w:color w:val="auto"/>
          <w:spacing w:val="0"/>
          <w:sz w:val="32"/>
          <w:szCs w:val="32"/>
          <w:lang w:eastAsia="zh-CN"/>
        </w:rPr>
        <w:t>八、应急保障</w:t>
      </w:r>
      <w:bookmarkEnd w:id="34"/>
    </w:p>
    <w:p w14:paraId="027DD9D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5" w:name="_Toc7483"/>
      <w:r>
        <w:rPr>
          <w:rFonts w:hint="default" w:ascii="Times New Roman" w:hAnsi="Times New Roman" w:eastAsia="楷体" w:cs="Times New Roman"/>
          <w:b w:val="0"/>
          <w:bCs w:val="0"/>
          <w:color w:val="auto"/>
          <w:spacing w:val="0"/>
          <w:sz w:val="32"/>
          <w:szCs w:val="32"/>
          <w:lang w:eastAsia="zh-CN"/>
        </w:rPr>
        <w:t>（一）队伍保障</w:t>
      </w:r>
      <w:bookmarkEnd w:id="35"/>
    </w:p>
    <w:p w14:paraId="311C00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区政府加强地震灾害紧急救援、消防、搜寻与救护、医疗卫生救援等专业抢险救灾队伍建设；街道办事处、村屯组织动员社会各方面力量，建立基层地震抢险救灾队伍，加强日常管理和培训。</w:t>
      </w:r>
    </w:p>
    <w:p w14:paraId="1A4FDD7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6" w:name="_Toc26004"/>
      <w:r>
        <w:rPr>
          <w:rFonts w:hint="default" w:ascii="Times New Roman" w:hAnsi="Times New Roman" w:eastAsia="楷体" w:cs="Times New Roman"/>
          <w:b w:val="0"/>
          <w:bCs w:val="0"/>
          <w:color w:val="auto"/>
          <w:spacing w:val="0"/>
          <w:sz w:val="32"/>
          <w:szCs w:val="32"/>
          <w:lang w:eastAsia="zh-CN"/>
        </w:rPr>
        <w:t>（二）物资与资金保障</w:t>
      </w:r>
      <w:bookmarkEnd w:id="36"/>
    </w:p>
    <w:p w14:paraId="04EF7CE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财政、民政、卫生健康等部门按照实际需求储备救助物资和装备，形成应急物资储备网络和调拨、紧急配送体系，保障地震灾害应急工作所需生活救助物资、地震救援和工程抢险装备、医疗器械和药品等的需求。</w:t>
      </w:r>
    </w:p>
    <w:p w14:paraId="7296F0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7" w:name="_Toc19993"/>
      <w:r>
        <w:rPr>
          <w:rFonts w:hint="default" w:ascii="Times New Roman" w:hAnsi="Times New Roman" w:eastAsia="楷体" w:cs="Times New Roman"/>
          <w:b w:val="0"/>
          <w:bCs w:val="0"/>
          <w:color w:val="auto"/>
          <w:spacing w:val="0"/>
          <w:sz w:val="32"/>
          <w:szCs w:val="32"/>
          <w:lang w:eastAsia="zh-CN"/>
        </w:rPr>
        <w:t>（三）避难场所保障</w:t>
      </w:r>
      <w:bookmarkEnd w:id="37"/>
    </w:p>
    <w:p w14:paraId="23A198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区政府因地制宜设立地震应急避难场所，确保其正常使用。</w:t>
      </w:r>
    </w:p>
    <w:p w14:paraId="096E16A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学校、医院、影剧院、商场、酒店、高层写字楼等人员密集场所设置应急疏散通道，配备必要的救生避险设施，保证通道、出口畅通。</w:t>
      </w:r>
    </w:p>
    <w:p w14:paraId="5F68E0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8" w:name="_Toc23438"/>
      <w:r>
        <w:rPr>
          <w:rFonts w:hint="default" w:ascii="Times New Roman" w:hAnsi="Times New Roman" w:eastAsia="楷体" w:cs="Times New Roman"/>
          <w:b w:val="0"/>
          <w:bCs w:val="0"/>
          <w:color w:val="auto"/>
          <w:spacing w:val="0"/>
          <w:sz w:val="32"/>
          <w:szCs w:val="32"/>
          <w:lang w:eastAsia="zh-CN"/>
        </w:rPr>
        <w:t>（四）基础设施保障</w:t>
      </w:r>
      <w:bookmarkEnd w:id="38"/>
    </w:p>
    <w:p w14:paraId="557E95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1.区抗震救灾指挥部完善应急通信、应急广播、电力、交通运输等基础设施建设，保障地震应急救援行动的正常进行。</w:t>
      </w:r>
    </w:p>
    <w:p w14:paraId="743534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2.区工信局协调电信主管部门，在地震发生后第一时间联络电信运营企业和单位迅速恢复受到破坏的通信设施、线路，优先保障抗震救灾通信的需要。</w:t>
      </w:r>
    </w:p>
    <w:p w14:paraId="38236EA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3.在地震发生后第一时间，区工信局及有关部门协调电力运营企业和单位迅速恢复受到破坏的发电和供电设施，优先保证抗震救灾用电的需要。</w:t>
      </w:r>
    </w:p>
    <w:p w14:paraId="42597F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4.在地震发生后第一时间，向阳交警大队、区工信局、区住建局等部门要协调交通运营企业和单位为抗震救灾队伍、物资运输提供保障，组织抢修被毁道路。</w:t>
      </w:r>
    </w:p>
    <w:p w14:paraId="7E6DA7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9" w:name="_Toc31511"/>
      <w:r>
        <w:rPr>
          <w:rFonts w:hint="default" w:ascii="Times New Roman" w:hAnsi="Times New Roman" w:eastAsia="楷体" w:cs="Times New Roman"/>
          <w:b w:val="0"/>
          <w:bCs w:val="0"/>
          <w:color w:val="auto"/>
          <w:spacing w:val="0"/>
          <w:sz w:val="32"/>
          <w:szCs w:val="32"/>
          <w:lang w:eastAsia="zh-CN"/>
        </w:rPr>
        <w:t>（五）宣传、培训与演练</w:t>
      </w:r>
      <w:bookmarkEnd w:id="39"/>
    </w:p>
    <w:p w14:paraId="4FCFA0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宣传、教育、应急管理等部门密切配合，开展防震减灾科学、法律知识普及和宣传教育，动员社会公众积极参与防震减灾知识普及活动，提高全社会防震避险和自救互救能力。</w:t>
      </w:r>
    </w:p>
    <w:p w14:paraId="6B5DE4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区应急局建立健全地震应急管理培训制度，组织应急管理人员、救援人员、志愿者等进行地震应急知识和技能培训。</w:t>
      </w:r>
    </w:p>
    <w:p w14:paraId="0C1180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区应急局及有关部门要制定演练计划，适时组织专项演练或综合演练。</w:t>
      </w:r>
    </w:p>
    <w:p w14:paraId="168C78E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40" w:name="_Toc11760"/>
      <w:r>
        <w:rPr>
          <w:rFonts w:hint="default" w:ascii="Times New Roman" w:hAnsi="Times New Roman" w:eastAsia="黑体" w:cs="Times New Roman"/>
          <w:color w:val="auto"/>
          <w:spacing w:val="0"/>
          <w:sz w:val="32"/>
          <w:szCs w:val="32"/>
          <w:lang w:eastAsia="zh-CN"/>
        </w:rPr>
        <w:t>九、其他地震事件应对</w:t>
      </w:r>
      <w:bookmarkEnd w:id="40"/>
    </w:p>
    <w:p w14:paraId="2606866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1" w:name="_Toc25971"/>
      <w:r>
        <w:rPr>
          <w:rFonts w:hint="default" w:ascii="Times New Roman" w:hAnsi="Times New Roman" w:eastAsia="楷体" w:cs="Times New Roman"/>
          <w:b w:val="0"/>
          <w:bCs w:val="0"/>
          <w:color w:val="auto"/>
          <w:spacing w:val="0"/>
          <w:sz w:val="32"/>
          <w:szCs w:val="32"/>
          <w:lang w:eastAsia="zh-CN"/>
        </w:rPr>
        <w:t>（一）地震谣传事件应对</w:t>
      </w:r>
      <w:bookmarkEnd w:id="41"/>
    </w:p>
    <w:p w14:paraId="635F64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出现地震传言并对社会正常生产生活秩序造成较严重影响时，区抗震救灾指挥部办公室及时报告市抗震救灾指挥部，在市抗震救灾指挥部监督指导下做好信息发布和舆论引导工作，采取措施平息地震传言。</w:t>
      </w:r>
    </w:p>
    <w:p w14:paraId="5D93F4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具体措施由区委宣传部牵头，其他部门按相关规定执行。</w:t>
      </w:r>
    </w:p>
    <w:p w14:paraId="101BD6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2" w:name="_Toc373"/>
      <w:r>
        <w:rPr>
          <w:rFonts w:hint="default" w:ascii="Times New Roman" w:hAnsi="Times New Roman" w:eastAsia="楷体" w:cs="Times New Roman"/>
          <w:b w:val="0"/>
          <w:bCs w:val="0"/>
          <w:color w:val="auto"/>
          <w:spacing w:val="0"/>
          <w:sz w:val="32"/>
          <w:szCs w:val="32"/>
          <w:lang w:eastAsia="zh-CN"/>
        </w:rPr>
        <w:t>（二）有感地震应对</w:t>
      </w:r>
      <w:bookmarkEnd w:id="42"/>
    </w:p>
    <w:p w14:paraId="170926B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发生3.0</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3.9级有感地震事件，区政府是应对主体，区抗震救灾指挥部统一指挥并组织实施应对处置工作。迅速获取地震影响和社会反应情况，分析整理后上报区委、区政府、市抗震救灾指挥部办公室。</w:t>
      </w:r>
    </w:p>
    <w:p w14:paraId="551EF4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区应急局拟定信息公告，经市应急局批准后由区政府及时向新闻媒体提供准确信息，积极开展防震减灾知识宣传。</w:t>
      </w:r>
    </w:p>
    <w:p w14:paraId="1F87571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3" w:name="_Toc3522"/>
      <w:r>
        <w:rPr>
          <w:rFonts w:hint="default" w:ascii="Times New Roman" w:hAnsi="Times New Roman" w:eastAsia="楷体" w:cs="Times New Roman"/>
          <w:b w:val="0"/>
          <w:bCs w:val="0"/>
          <w:color w:val="auto"/>
          <w:spacing w:val="0"/>
          <w:sz w:val="32"/>
          <w:szCs w:val="32"/>
          <w:lang w:eastAsia="zh-CN"/>
        </w:rPr>
        <w:t>（三）应对毗邻行政区地震灾害事件</w:t>
      </w:r>
      <w:bookmarkEnd w:id="43"/>
    </w:p>
    <w:p w14:paraId="26242E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毗邻行政区发生地震灾害事件对向阳区产生严重社会影响时，区政府根据市应急局的建议确定响应级别，及时发布震情、灾情信息，正确引导舆论，并按照本预案开展相关应对工作。</w:t>
      </w:r>
    </w:p>
    <w:p w14:paraId="550FFA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44" w:name="_Toc4111"/>
      <w:r>
        <w:rPr>
          <w:rFonts w:hint="default" w:ascii="Times New Roman" w:hAnsi="Times New Roman" w:eastAsia="黑体" w:cs="Times New Roman"/>
          <w:color w:val="auto"/>
          <w:spacing w:val="0"/>
          <w:sz w:val="32"/>
          <w:szCs w:val="32"/>
          <w:lang w:eastAsia="zh-CN"/>
        </w:rPr>
        <w:t>十、附则</w:t>
      </w:r>
      <w:bookmarkEnd w:id="44"/>
    </w:p>
    <w:p w14:paraId="60F722F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5" w:name="_Toc31486"/>
      <w:r>
        <w:rPr>
          <w:rFonts w:hint="default" w:ascii="Times New Roman" w:hAnsi="Times New Roman" w:eastAsia="楷体" w:cs="Times New Roman"/>
          <w:b w:val="0"/>
          <w:bCs w:val="0"/>
          <w:color w:val="auto"/>
          <w:spacing w:val="0"/>
          <w:sz w:val="32"/>
          <w:szCs w:val="32"/>
          <w:lang w:eastAsia="zh-CN"/>
        </w:rPr>
        <w:t>（一）预案编制及备案</w:t>
      </w:r>
      <w:bookmarkEnd w:id="45"/>
    </w:p>
    <w:p w14:paraId="04059B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1.区应急局会同有关部门组织编制本预案，经区政府批准，以区政府办公室名义印发。印发20个工作日内，由区应急局报市应急局备案。</w:t>
      </w:r>
    </w:p>
    <w:p w14:paraId="661DE1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2.区抗震救灾指挥部成员单位根据本部门职能制定各自的抗震救灾应急预案，报区应急局备案。</w:t>
      </w:r>
    </w:p>
    <w:p w14:paraId="236DB1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3.区内电力、供水、供气等基础设施的经营管理单位和学校、医院，以及可能发生次生灾害的危险物品经营单位，应根据各自实际制定地震灾害应急预案，报区应急局备案。</w:t>
      </w:r>
    </w:p>
    <w:p w14:paraId="4233BEE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6" w:name="_Toc28253"/>
      <w:r>
        <w:rPr>
          <w:rFonts w:hint="default" w:ascii="Times New Roman" w:hAnsi="Times New Roman" w:eastAsia="楷体" w:cs="Times New Roman"/>
          <w:b w:val="0"/>
          <w:bCs w:val="0"/>
          <w:color w:val="auto"/>
          <w:spacing w:val="0"/>
          <w:sz w:val="32"/>
          <w:szCs w:val="32"/>
          <w:lang w:eastAsia="zh-CN"/>
        </w:rPr>
        <w:t>（二）监督检查</w:t>
      </w:r>
      <w:bookmarkEnd w:id="46"/>
    </w:p>
    <w:p w14:paraId="56307C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抗震救灾指挥部办公室会同区政府有关部门，对本预案实施的全过程进行监督检查，保障应急措施到位。</w:t>
      </w:r>
    </w:p>
    <w:p w14:paraId="1D1CF5D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7" w:name="_Toc6826"/>
      <w:r>
        <w:rPr>
          <w:rFonts w:hint="default" w:ascii="Times New Roman" w:hAnsi="Times New Roman" w:eastAsia="楷体" w:cs="Times New Roman"/>
          <w:b w:val="0"/>
          <w:bCs w:val="0"/>
          <w:color w:val="auto"/>
          <w:spacing w:val="0"/>
          <w:sz w:val="32"/>
          <w:szCs w:val="32"/>
          <w:lang w:eastAsia="zh-CN"/>
        </w:rPr>
        <w:t>（三）责任和奖惩</w:t>
      </w:r>
      <w:bookmarkEnd w:id="47"/>
    </w:p>
    <w:p w14:paraId="7B0FA2C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1.地震应急工作实行行政领导负责制和责任追究制度，对地震应急工作和应急管理中做出突出贡献的集体和个人，由区政府或各街道办事处给予表彰和奖励。</w:t>
      </w:r>
    </w:p>
    <w:p w14:paraId="21E481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2.对迟报、谎报、瞒报和漏报地震应急重要情况或</w:t>
      </w:r>
      <w:r>
        <w:rPr>
          <w:rFonts w:hint="eastAsia" w:ascii="仿宋" w:hAnsi="仿宋" w:eastAsia="仿宋" w:cs="仿宋"/>
          <w:color w:val="auto"/>
          <w:spacing w:val="0"/>
          <w:sz w:val="32"/>
          <w:szCs w:val="32"/>
          <w:lang w:eastAsia="zh-CN"/>
        </w:rPr>
        <w:t>者在</w:t>
      </w:r>
      <w:r>
        <w:rPr>
          <w:rFonts w:hint="default" w:ascii="仿宋" w:hAnsi="仿宋" w:eastAsia="仿宋" w:cs="仿宋"/>
          <w:color w:val="auto"/>
          <w:spacing w:val="0"/>
          <w:sz w:val="32"/>
          <w:szCs w:val="32"/>
          <w:lang w:eastAsia="zh-CN"/>
        </w:rPr>
        <w:t>应急管理工作中有其他失职、渎职行为的</w:t>
      </w:r>
      <w:r>
        <w:rPr>
          <w:rFonts w:hint="eastAsia" w:ascii="仿宋" w:hAnsi="仿宋" w:eastAsia="仿宋" w:cs="仿宋"/>
          <w:color w:val="auto"/>
          <w:spacing w:val="0"/>
          <w:sz w:val="32"/>
          <w:szCs w:val="32"/>
          <w:lang w:eastAsia="zh-CN"/>
        </w:rPr>
        <w:t>，</w:t>
      </w:r>
      <w:r>
        <w:rPr>
          <w:rFonts w:hint="default" w:ascii="仿宋" w:hAnsi="仿宋" w:eastAsia="仿宋" w:cs="仿宋"/>
          <w:color w:val="auto"/>
          <w:spacing w:val="0"/>
          <w:sz w:val="32"/>
          <w:szCs w:val="32"/>
          <w:lang w:eastAsia="zh-CN"/>
        </w:rPr>
        <w:t>依法对有关责任人给予行政处分；构成犯罪的</w:t>
      </w:r>
      <w:r>
        <w:rPr>
          <w:rFonts w:hint="eastAsia" w:ascii="仿宋" w:hAnsi="仿宋" w:eastAsia="仿宋" w:cs="仿宋"/>
          <w:color w:val="auto"/>
          <w:spacing w:val="0"/>
          <w:sz w:val="32"/>
          <w:szCs w:val="32"/>
          <w:lang w:eastAsia="zh-CN"/>
        </w:rPr>
        <w:t>，</w:t>
      </w:r>
      <w:r>
        <w:rPr>
          <w:rFonts w:hint="default" w:ascii="仿宋" w:hAnsi="仿宋" w:eastAsia="仿宋" w:cs="仿宋"/>
          <w:color w:val="auto"/>
          <w:spacing w:val="0"/>
          <w:sz w:val="32"/>
          <w:szCs w:val="32"/>
          <w:lang w:eastAsia="zh-CN"/>
        </w:rPr>
        <w:t>依法追究刑事责任。</w:t>
      </w:r>
    </w:p>
    <w:p w14:paraId="563CE0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8" w:name="_Toc22959"/>
      <w:r>
        <w:rPr>
          <w:rFonts w:hint="default" w:ascii="Times New Roman" w:hAnsi="Times New Roman" w:eastAsia="楷体" w:cs="Times New Roman"/>
          <w:b w:val="0"/>
          <w:bCs w:val="0"/>
          <w:color w:val="auto"/>
          <w:spacing w:val="0"/>
          <w:sz w:val="32"/>
          <w:szCs w:val="32"/>
          <w:lang w:eastAsia="zh-CN"/>
        </w:rPr>
        <w:t>（四）预案修订</w:t>
      </w:r>
      <w:bookmarkEnd w:id="48"/>
    </w:p>
    <w:p w14:paraId="78828A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本预案由区应急局负责组织评估。原则上每5年对本预案评审一次，并按规定进行修订。</w:t>
      </w:r>
    </w:p>
    <w:p w14:paraId="430E26C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有下列情形之一的，本预案应当及时修订：</w:t>
      </w:r>
    </w:p>
    <w:p w14:paraId="10F248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1.有关法律、行政法规、规章、标准、上位预案中的有关规定发生变化的。</w:t>
      </w:r>
    </w:p>
    <w:p w14:paraId="39CF91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2.应急指挥机构及其职责发生重大调整的。</w:t>
      </w:r>
    </w:p>
    <w:p w14:paraId="6B1CE4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3.面临的风险发生重大变化的。</w:t>
      </w:r>
    </w:p>
    <w:p w14:paraId="4E6A27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4.重要应急资源发生重大变化的。</w:t>
      </w:r>
    </w:p>
    <w:p w14:paraId="597F157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5.预案中的其他重要信息发生变化的。</w:t>
      </w:r>
    </w:p>
    <w:p w14:paraId="7B6674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6.在突发事件实际应对和应急演练中发现问题需要做出重大调整的。</w:t>
      </w:r>
    </w:p>
    <w:p w14:paraId="24942F0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7.应急预案制定单位认为应当修订的其他情况。</w:t>
      </w:r>
    </w:p>
    <w:p w14:paraId="63DC2B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9" w:name="_Toc2893"/>
      <w:r>
        <w:rPr>
          <w:rFonts w:hint="default" w:ascii="Times New Roman" w:hAnsi="Times New Roman" w:eastAsia="楷体" w:cs="Times New Roman"/>
          <w:b w:val="0"/>
          <w:bCs w:val="0"/>
          <w:color w:val="auto"/>
          <w:spacing w:val="0"/>
          <w:sz w:val="32"/>
          <w:szCs w:val="32"/>
          <w:lang w:eastAsia="zh-CN"/>
        </w:rPr>
        <w:t>（五）实施时间</w:t>
      </w:r>
      <w:bookmarkEnd w:id="49"/>
    </w:p>
    <w:p w14:paraId="1E4EFA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本预案自发布之日起施行。</w:t>
      </w:r>
    </w:p>
    <w:p w14:paraId="26478CC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50" w:name="_Toc15136"/>
      <w:r>
        <w:rPr>
          <w:rFonts w:hint="default" w:ascii="Times New Roman" w:hAnsi="Times New Roman" w:eastAsia="黑体" w:cs="Times New Roman"/>
          <w:color w:val="auto"/>
          <w:spacing w:val="0"/>
          <w:sz w:val="32"/>
          <w:szCs w:val="32"/>
          <w:lang w:eastAsia="zh-CN"/>
        </w:rPr>
        <w:t>十</w:t>
      </w:r>
      <w:r>
        <w:rPr>
          <w:rFonts w:hint="eastAsia"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lang w:eastAsia="zh-CN"/>
        </w:rPr>
        <w:t>、</w:t>
      </w:r>
      <w:r>
        <w:rPr>
          <w:rFonts w:hint="eastAsia" w:ascii="Times New Roman" w:hAnsi="Times New Roman" w:eastAsia="黑体" w:cs="Times New Roman"/>
          <w:color w:val="auto"/>
          <w:spacing w:val="0"/>
          <w:sz w:val="32"/>
          <w:szCs w:val="32"/>
          <w:lang w:eastAsia="zh-CN"/>
        </w:rPr>
        <w:t>附件</w:t>
      </w:r>
      <w:bookmarkEnd w:id="50"/>
    </w:p>
    <w:p w14:paraId="482F7F12">
      <w:pPr>
        <w:pStyle w:val="14"/>
        <w:rPr>
          <w:rFonts w:hint="eastAsia" w:ascii="仿宋" w:hAnsi="仿宋" w:eastAsia="仿宋" w:cs="仿宋"/>
          <w:b w:val="0"/>
          <w:bCs w:val="0"/>
          <w:color w:val="auto"/>
          <w:spacing w:val="0"/>
          <w:sz w:val="32"/>
          <w:szCs w:val="32"/>
          <w:lang w:val="zh-CN" w:eastAsia="zh-CN" w:bidi="zh-CN"/>
        </w:rPr>
      </w:pPr>
      <w:bookmarkStart w:id="51" w:name="_Toc12449"/>
      <w:r>
        <w:rPr>
          <w:rFonts w:hint="eastAsia" w:ascii="仿宋" w:hAnsi="仿宋" w:eastAsia="仿宋" w:cs="仿宋"/>
          <w:b w:val="0"/>
          <w:bCs w:val="0"/>
          <w:color w:val="auto"/>
          <w:spacing w:val="0"/>
          <w:sz w:val="32"/>
          <w:szCs w:val="32"/>
          <w:lang w:eastAsia="zh-CN"/>
        </w:rPr>
        <w:t>附件：</w:t>
      </w:r>
      <w:bookmarkEnd w:id="51"/>
      <w:r>
        <w:rPr>
          <w:rFonts w:hint="eastAsia" w:ascii="仿宋" w:hAnsi="仿宋" w:eastAsia="仿宋" w:cs="仿宋"/>
          <w:b w:val="0"/>
          <w:bCs w:val="0"/>
          <w:color w:val="auto"/>
          <w:spacing w:val="0"/>
          <w:sz w:val="32"/>
          <w:szCs w:val="32"/>
          <w:lang w:val="zh-CN" w:eastAsia="zh-CN" w:bidi="zh-CN"/>
        </w:rPr>
        <w:t>风险分级管控及评价方法</w:t>
      </w:r>
    </w:p>
    <w:p w14:paraId="2041B1DF">
      <w:pPr>
        <w:rPr>
          <w:rFonts w:hint="eastAsia" w:ascii="仿宋" w:hAnsi="仿宋" w:eastAsia="仿宋" w:cs="仿宋"/>
          <w:b w:val="0"/>
          <w:bCs w:val="0"/>
          <w:color w:val="auto"/>
          <w:spacing w:val="0"/>
          <w:sz w:val="32"/>
          <w:szCs w:val="32"/>
          <w:lang w:val="zh-CN" w:eastAsia="zh-CN" w:bidi="zh-CN"/>
        </w:rPr>
      </w:pPr>
      <w:r>
        <w:rPr>
          <w:rFonts w:hint="eastAsia" w:ascii="仿宋" w:hAnsi="仿宋" w:eastAsia="仿宋" w:cs="仿宋"/>
          <w:b w:val="0"/>
          <w:bCs w:val="0"/>
          <w:color w:val="auto"/>
          <w:spacing w:val="0"/>
          <w:sz w:val="32"/>
          <w:szCs w:val="32"/>
          <w:lang w:val="zh-CN" w:eastAsia="zh-CN" w:bidi="zh-CN"/>
        </w:rPr>
        <w:br w:type="page"/>
      </w:r>
    </w:p>
    <w:p w14:paraId="71EFFBD3">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bookmarkStart w:id="52" w:name="_Toc27543"/>
      <w:bookmarkStart w:id="53" w:name="_Toc15518"/>
      <w:r>
        <w:rPr>
          <w:rFonts w:hint="eastAsia" w:ascii="黑体" w:hAnsi="黑体" w:eastAsia="黑体" w:cs="黑体"/>
          <w:color w:val="auto"/>
          <w:spacing w:val="0"/>
          <w:sz w:val="32"/>
          <w:szCs w:val="32"/>
          <w:lang w:val="en-US" w:eastAsia="zh-CN"/>
        </w:rPr>
        <w:t>附件</w:t>
      </w:r>
      <w:bookmarkEnd w:id="52"/>
      <w:bookmarkEnd w:id="53"/>
    </w:p>
    <w:p w14:paraId="2A01453D">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p>
    <w:p w14:paraId="34077E56">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bookmarkStart w:id="54" w:name="_Toc23571"/>
      <w:bookmarkStart w:id="55" w:name="_Toc12433"/>
      <w:r>
        <w:rPr>
          <w:rFonts w:hint="eastAsia" w:ascii="方正小标宋简体" w:hAnsi="方正小标宋简体" w:eastAsia="方正小标宋简体" w:cs="方正小标宋简体"/>
          <w:b w:val="0"/>
          <w:bCs w:val="0"/>
          <w:snapToGrid w:val="0"/>
          <w:color w:val="auto"/>
          <w:spacing w:val="0"/>
          <w:sz w:val="44"/>
          <w:szCs w:val="44"/>
          <w:lang w:val="en-US" w:eastAsia="zh-CN" w:bidi="ar-SA"/>
        </w:rPr>
        <w:t>风险分级管控及评价方法</w:t>
      </w:r>
      <w:bookmarkEnd w:id="54"/>
      <w:bookmarkEnd w:id="55"/>
    </w:p>
    <w:p w14:paraId="0EFA7C46">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p>
    <w:p w14:paraId="73287E3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LS法安全风险评价判定准则</w:t>
      </w:r>
    </w:p>
    <w:p w14:paraId="6ECF2FF9">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1.风险矩阵法的主要内容是：</w:t>
      </w:r>
      <w:r>
        <w:rPr>
          <w:rFonts w:hint="eastAsia" w:ascii="仿宋" w:hAnsi="仿宋" w:eastAsia="仿宋" w:cs="仿宋"/>
          <w:color w:val="auto"/>
          <w:sz w:val="32"/>
          <w:szCs w:val="32"/>
        </w:rPr>
        <w:t>识别出存在的风险，分析和评价风险事件发生的可能性和后果，二者相乘，得出风险的风险值，确定风险级别，进而决定应当采取的风险控制措施。</w:t>
      </w:r>
    </w:p>
    <w:p w14:paraId="6C0FA6DB">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数学表达式为：R=L×S，其中，</w:t>
      </w:r>
    </w:p>
    <w:p w14:paraId="4DF8830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R代表风险值；</w:t>
      </w:r>
    </w:p>
    <w:p w14:paraId="45C1732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L代表风险事件发生可能性；</w:t>
      </w:r>
    </w:p>
    <w:p w14:paraId="50355CF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S代表风险事件后果严重程度。</w:t>
      </w:r>
    </w:p>
    <w:p w14:paraId="17E1C93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2.风险事件发生可能性（L）取值</w:t>
      </w:r>
    </w:p>
    <w:p w14:paraId="05B2FB5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6EE6915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color w:val="auto"/>
          <w:sz w:val="32"/>
          <w:szCs w:val="32"/>
          <w:lang w:val="zh-CN" w:eastAsia="zh-CN" w:bidi="zh-CN"/>
        </w:rPr>
      </w:pPr>
      <w:r>
        <w:rPr>
          <w:rFonts w:hint="eastAsia" w:ascii="仿宋" w:hAnsi="仿宋" w:eastAsia="仿宋" w:cs="仿宋"/>
          <w:snapToGrid/>
          <w:color w:val="auto"/>
          <w:sz w:val="32"/>
          <w:szCs w:val="32"/>
          <w:lang w:val="zh-CN" w:eastAsia="zh-CN" w:bidi="zh-CN"/>
        </w:rPr>
        <w:t>事件发生的可能性（L）用事件发生的概率表示，取值如下表所示：</w:t>
      </w:r>
    </w:p>
    <w:p w14:paraId="327C86F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color w:val="auto"/>
          <w:sz w:val="32"/>
          <w:szCs w:val="32"/>
          <w:lang w:val="zh-CN" w:eastAsia="zh-CN" w:bidi="zh-CN"/>
        </w:rPr>
      </w:pPr>
    </w:p>
    <w:p w14:paraId="28FFAAE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auto"/>
          <w:sz w:val="32"/>
          <w:szCs w:val="32"/>
          <w:lang w:val="en-US" w:eastAsia="en-US" w:bidi="ar-SA"/>
        </w:rPr>
      </w:pPr>
      <w:r>
        <w:rPr>
          <w:rFonts w:hint="eastAsia" w:ascii="仿宋" w:hAnsi="仿宋" w:eastAsia="仿宋" w:cs="仿宋"/>
          <w:b/>
          <w:bCs/>
          <w:snapToGrid w:val="0"/>
          <w:color w:val="auto"/>
          <w:sz w:val="32"/>
          <w:szCs w:val="32"/>
          <w:lang w:val="en-US" w:eastAsia="en-US" w:bidi="ar-SA"/>
        </w:rPr>
        <w:t>风险事件发生可能性（L）参考取值表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64"/>
        <w:gridCol w:w="1034"/>
        <w:gridCol w:w="1553"/>
        <w:gridCol w:w="1648"/>
        <w:gridCol w:w="2423"/>
        <w:gridCol w:w="1394"/>
      </w:tblGrid>
      <w:tr w14:paraId="1BDC2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08A1367E">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L</w:t>
            </w:r>
          </w:p>
        </w:tc>
        <w:tc>
          <w:tcPr>
            <w:tcW w:w="1034" w:type="dxa"/>
            <w:shd w:val="clear" w:color="auto" w:fill="auto"/>
            <w:vAlign w:val="center"/>
          </w:tcPr>
          <w:p w14:paraId="61B8CF3E">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参考频率</w:t>
            </w:r>
          </w:p>
        </w:tc>
        <w:tc>
          <w:tcPr>
            <w:tcW w:w="1553" w:type="dxa"/>
            <w:shd w:val="clear" w:color="auto" w:fill="auto"/>
            <w:vAlign w:val="center"/>
          </w:tcPr>
          <w:p w14:paraId="68D1E097">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人员情况</w:t>
            </w:r>
          </w:p>
        </w:tc>
        <w:tc>
          <w:tcPr>
            <w:tcW w:w="1648" w:type="dxa"/>
            <w:shd w:val="clear" w:color="auto" w:fill="auto"/>
            <w:vAlign w:val="center"/>
          </w:tcPr>
          <w:p w14:paraId="3B80E306">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设备设施、工器具及材料</w:t>
            </w:r>
          </w:p>
        </w:tc>
        <w:tc>
          <w:tcPr>
            <w:shd w:val="clear" w:color="auto" w:fill="auto"/>
            <w:vAlign w:val="center"/>
          </w:tcPr>
          <w:p w14:paraId="503A4B1E">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环境</w:t>
            </w:r>
          </w:p>
          <w:p w14:paraId="6BD84D14">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状况</w:t>
            </w:r>
          </w:p>
        </w:tc>
        <w:tc>
          <w:tcPr>
            <w:shd w:val="clear" w:color="auto" w:fill="auto"/>
            <w:vAlign w:val="center"/>
          </w:tcPr>
          <w:p w14:paraId="06D0A8DC">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规程和针对性管理方案</w:t>
            </w:r>
          </w:p>
        </w:tc>
      </w:tr>
      <w:tr w14:paraId="39AB5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16681532">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5</w:t>
            </w:r>
          </w:p>
        </w:tc>
        <w:tc>
          <w:tcPr>
            <w:tcW w:w="1034" w:type="dxa"/>
            <w:shd w:val="clear" w:color="auto" w:fill="auto"/>
            <w:textDirection w:val="tbLrV"/>
            <w:vAlign w:val="center"/>
          </w:tcPr>
          <w:p w14:paraId="5ACD8248">
            <w:pPr>
              <w:kinsoku w:val="0"/>
              <w:autoSpaceDE w:val="0"/>
              <w:autoSpaceDN w:val="0"/>
              <w:adjustRightInd w:val="0"/>
              <w:snapToGrid w:val="0"/>
              <w:spacing w:before="60" w:after="60"/>
              <w:ind w:left="108" w:leftChars="0" w:right="113"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本企业一年内发生过</w:t>
            </w:r>
          </w:p>
        </w:tc>
        <w:tc>
          <w:tcPr>
            <w:tcW w:w="1553" w:type="dxa"/>
            <w:shd w:val="clear" w:color="auto" w:fill="auto"/>
            <w:vAlign w:val="center"/>
          </w:tcPr>
          <w:p w14:paraId="0916CAD7">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无培训</w:t>
            </w:r>
            <w:r>
              <w:rPr>
                <w:rFonts w:hint="eastAsia" w:ascii="仿宋" w:hAnsi="仿宋" w:eastAsia="仿宋" w:cs="仿宋"/>
                <w:snapToGrid w:val="0"/>
                <w:color w:val="auto"/>
                <w:sz w:val="32"/>
                <w:szCs w:val="32"/>
                <w:lang w:val="en-US" w:eastAsia="zh-CN" w:bidi="ar-SA"/>
              </w:rPr>
              <w:t>，</w:t>
            </w:r>
            <w:r>
              <w:rPr>
                <w:rFonts w:hint="eastAsia" w:ascii="仿宋" w:hAnsi="仿宋" w:eastAsia="仿宋" w:cs="仿宋"/>
                <w:snapToGrid w:val="0"/>
                <w:color w:val="auto"/>
                <w:sz w:val="32"/>
                <w:szCs w:val="32"/>
                <w:lang w:val="en-US" w:eastAsia="en-US" w:bidi="ar-SA"/>
              </w:rPr>
              <w:t>无经验</w:t>
            </w:r>
          </w:p>
        </w:tc>
        <w:tc>
          <w:tcPr>
            <w:tcW w:w="1648" w:type="dxa"/>
            <w:shd w:val="clear" w:color="auto" w:fill="auto"/>
            <w:vAlign w:val="center"/>
          </w:tcPr>
          <w:p w14:paraId="73562B64">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超期运行或超检验期</w:t>
            </w:r>
          </w:p>
        </w:tc>
        <w:tc>
          <w:tcPr>
            <w:shd w:val="clear" w:color="auto" w:fill="auto"/>
            <w:vAlign w:val="center"/>
          </w:tcPr>
          <w:p w14:paraId="64A5ECB4">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危险化学品生产贮存区域；存在或可能产生危害气体</w:t>
            </w:r>
          </w:p>
        </w:tc>
        <w:tc>
          <w:tcPr>
            <w:shd w:val="clear" w:color="auto" w:fill="auto"/>
            <w:vAlign w:val="center"/>
          </w:tcPr>
          <w:p w14:paraId="0EBAF731">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没有</w:t>
            </w:r>
          </w:p>
        </w:tc>
      </w:tr>
      <w:tr w14:paraId="3B134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256D328C">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4</w:t>
            </w:r>
          </w:p>
        </w:tc>
        <w:tc>
          <w:tcPr>
            <w:tcW w:w="1034" w:type="dxa"/>
            <w:shd w:val="clear" w:color="auto" w:fill="auto"/>
            <w:textDirection w:val="tbLrV"/>
            <w:vAlign w:val="center"/>
          </w:tcPr>
          <w:p w14:paraId="1CF6E9A9">
            <w:pPr>
              <w:kinsoku w:val="0"/>
              <w:autoSpaceDE w:val="0"/>
              <w:autoSpaceDN w:val="0"/>
              <w:adjustRightInd w:val="0"/>
              <w:snapToGrid w:val="0"/>
              <w:spacing w:before="60" w:after="60"/>
              <w:ind w:left="108" w:leftChars="0" w:right="113"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本集团一年内发生过</w:t>
            </w:r>
          </w:p>
        </w:tc>
        <w:tc>
          <w:tcPr>
            <w:tcW w:w="1553" w:type="dxa"/>
            <w:shd w:val="clear" w:color="auto" w:fill="auto"/>
            <w:vAlign w:val="center"/>
          </w:tcPr>
          <w:p w14:paraId="680890DB">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有培训但培训时间不够或未达成效果</w:t>
            </w:r>
          </w:p>
        </w:tc>
        <w:tc>
          <w:tcPr>
            <w:tcW w:w="1648" w:type="dxa"/>
            <w:shd w:val="clear" w:color="auto" w:fill="auto"/>
            <w:vAlign w:val="center"/>
          </w:tcPr>
          <w:p w14:paraId="2AB5F543">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保护自动装置功能</w:t>
            </w:r>
            <w:r>
              <w:rPr>
                <w:rFonts w:hint="eastAsia" w:ascii="仿宋" w:hAnsi="仿宋" w:eastAsia="仿宋" w:cs="仿宋"/>
                <w:snapToGrid w:val="0"/>
                <w:color w:val="auto"/>
                <w:sz w:val="32"/>
                <w:szCs w:val="32"/>
                <w:lang w:val="en-US" w:eastAsia="zh-CN" w:bidi="ar-SA"/>
              </w:rPr>
              <w:t>不</w:t>
            </w:r>
            <w:r>
              <w:rPr>
                <w:rFonts w:hint="eastAsia" w:ascii="仿宋" w:hAnsi="仿宋" w:eastAsia="仿宋" w:cs="仿宋"/>
                <w:snapToGrid w:val="0"/>
                <w:color w:val="auto"/>
                <w:sz w:val="32"/>
                <w:szCs w:val="32"/>
                <w:lang w:val="en-US" w:eastAsia="en-US" w:bidi="ar-SA"/>
              </w:rPr>
              <w:t>完善，存在质量缺陷</w:t>
            </w:r>
          </w:p>
        </w:tc>
        <w:tc>
          <w:tcPr>
            <w:shd w:val="clear" w:color="auto" w:fill="auto"/>
            <w:vAlign w:val="center"/>
          </w:tcPr>
          <w:p w14:paraId="3E17473D">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作业空间受限；作业立体交叉；恶劣气象条件；高空或在运行</w:t>
            </w:r>
            <w:r>
              <w:rPr>
                <w:rFonts w:hint="eastAsia" w:ascii="仿宋" w:hAnsi="仿宋" w:eastAsia="仿宋" w:cs="仿宋"/>
                <w:snapToGrid w:val="0"/>
                <w:color w:val="auto"/>
                <w:sz w:val="32"/>
                <w:szCs w:val="32"/>
                <w:lang w:val="en-US" w:eastAsia="zh-CN" w:bidi="ar-SA"/>
              </w:rPr>
              <w:t>设</w:t>
            </w:r>
            <w:r>
              <w:rPr>
                <w:rFonts w:hint="eastAsia" w:ascii="仿宋" w:hAnsi="仿宋" w:eastAsia="仿宋" w:cs="仿宋"/>
                <w:snapToGrid w:val="0"/>
                <w:color w:val="auto"/>
                <w:sz w:val="32"/>
                <w:szCs w:val="32"/>
                <w:lang w:val="en-US" w:eastAsia="en-US" w:bidi="ar-SA"/>
              </w:rPr>
              <w:t>备设施上作业</w:t>
            </w:r>
          </w:p>
        </w:tc>
        <w:tc>
          <w:tcPr>
            <w:shd w:val="clear" w:color="auto" w:fill="auto"/>
            <w:vAlign w:val="center"/>
          </w:tcPr>
          <w:p w14:paraId="7974EF9D">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有，但不完善，且只偶尔执行</w:t>
            </w:r>
          </w:p>
        </w:tc>
      </w:tr>
      <w:tr w14:paraId="68D3C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35F3F169">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3</w:t>
            </w:r>
          </w:p>
        </w:tc>
        <w:tc>
          <w:tcPr>
            <w:tcW w:w="1034" w:type="dxa"/>
            <w:shd w:val="clear" w:color="auto" w:fill="auto"/>
            <w:textDirection w:val="tbLrV"/>
            <w:vAlign w:val="center"/>
          </w:tcPr>
          <w:p w14:paraId="7AC45C3E">
            <w:pPr>
              <w:kinsoku w:val="0"/>
              <w:autoSpaceDE w:val="0"/>
              <w:autoSpaceDN w:val="0"/>
              <w:adjustRightInd w:val="0"/>
              <w:snapToGrid w:val="0"/>
              <w:spacing w:before="60" w:after="60"/>
              <w:ind w:left="108" w:leftChars="0" w:right="113"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本行业一年内发生过</w:t>
            </w:r>
          </w:p>
        </w:tc>
        <w:tc>
          <w:tcPr>
            <w:tcW w:w="1553" w:type="dxa"/>
            <w:shd w:val="clear" w:color="auto" w:fill="auto"/>
            <w:vAlign w:val="center"/>
          </w:tcPr>
          <w:p w14:paraId="528F2C9A">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经验不足，多次出现差错</w:t>
            </w:r>
          </w:p>
        </w:tc>
        <w:tc>
          <w:tcPr>
            <w:tcW w:w="1648" w:type="dxa"/>
            <w:shd w:val="clear" w:color="auto" w:fill="auto"/>
            <w:vAlign w:val="center"/>
          </w:tcPr>
          <w:p w14:paraId="21B71A15">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基本完好，但安全装置不完善</w:t>
            </w:r>
          </w:p>
        </w:tc>
        <w:tc>
          <w:tcPr>
            <w:shd w:val="clear" w:color="auto" w:fill="auto"/>
            <w:vAlign w:val="center"/>
          </w:tcPr>
          <w:p w14:paraId="23F028BA">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通风、光照或温度需要采取措施才能作业；周围有运行设备；立面有同时作业</w:t>
            </w:r>
          </w:p>
        </w:tc>
        <w:tc>
          <w:tcPr>
            <w:shd w:val="clear" w:color="auto" w:fill="auto"/>
            <w:vAlign w:val="center"/>
          </w:tcPr>
          <w:p w14:paraId="3CF7A714">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有，较完善，但只部分执行</w:t>
            </w:r>
          </w:p>
        </w:tc>
      </w:tr>
      <w:tr w14:paraId="5822B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662986F8">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2</w:t>
            </w:r>
          </w:p>
        </w:tc>
        <w:tc>
          <w:tcPr>
            <w:tcW w:w="1034" w:type="dxa"/>
            <w:shd w:val="clear" w:color="auto" w:fill="auto"/>
            <w:textDirection w:val="tbLrV"/>
            <w:vAlign w:val="center"/>
          </w:tcPr>
          <w:p w14:paraId="7C7399D4">
            <w:pPr>
              <w:kinsoku w:val="0"/>
              <w:autoSpaceDE w:val="0"/>
              <w:autoSpaceDN w:val="0"/>
              <w:adjustRightInd w:val="0"/>
              <w:snapToGrid w:val="0"/>
              <w:spacing w:before="60" w:after="60"/>
              <w:ind w:left="108" w:leftChars="0" w:right="113"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全国范围一年内发生过</w:t>
            </w:r>
          </w:p>
        </w:tc>
        <w:tc>
          <w:tcPr>
            <w:tcW w:w="1553" w:type="dxa"/>
            <w:shd w:val="clear" w:color="auto" w:fill="auto"/>
            <w:vAlign w:val="center"/>
          </w:tcPr>
          <w:p w14:paraId="000A6C2A">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偶尔出现差错</w:t>
            </w:r>
          </w:p>
        </w:tc>
        <w:tc>
          <w:tcPr>
            <w:tcW w:w="1648" w:type="dxa"/>
            <w:shd w:val="clear" w:color="auto" w:fill="auto"/>
            <w:vAlign w:val="center"/>
          </w:tcPr>
          <w:p w14:paraId="12349A34">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总体完好，但有缺陷</w:t>
            </w:r>
          </w:p>
        </w:tc>
        <w:tc>
          <w:tcPr>
            <w:shd w:val="clear" w:color="auto" w:fill="auto"/>
            <w:vAlign w:val="center"/>
          </w:tcPr>
          <w:p w14:paraId="6B96AB6C">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通风、光照或温度不影响作业；系统停运；同一作业面有其它作业</w:t>
            </w:r>
          </w:p>
        </w:tc>
        <w:tc>
          <w:tcPr>
            <w:shd w:val="clear" w:color="auto" w:fill="auto"/>
            <w:vAlign w:val="center"/>
          </w:tcPr>
          <w:p w14:paraId="58592B50">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有，完善，但偶尔不执行</w:t>
            </w:r>
          </w:p>
        </w:tc>
      </w:tr>
      <w:tr w14:paraId="4ED426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43CFD967">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1</w:t>
            </w:r>
          </w:p>
        </w:tc>
        <w:tc>
          <w:tcPr>
            <w:tcW w:w="1034" w:type="dxa"/>
            <w:shd w:val="clear" w:color="auto" w:fill="auto"/>
            <w:textDirection w:val="tbLrV"/>
            <w:vAlign w:val="center"/>
          </w:tcPr>
          <w:p w14:paraId="36586061">
            <w:pPr>
              <w:kinsoku w:val="0"/>
              <w:autoSpaceDE w:val="0"/>
              <w:autoSpaceDN w:val="0"/>
              <w:adjustRightInd w:val="0"/>
              <w:snapToGrid w:val="0"/>
              <w:spacing w:before="60" w:after="60"/>
              <w:ind w:left="108" w:leftChars="0" w:right="113"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从未发生过</w:t>
            </w:r>
          </w:p>
        </w:tc>
        <w:tc>
          <w:tcPr>
            <w:tcW w:w="1553" w:type="dxa"/>
            <w:shd w:val="clear" w:color="auto" w:fill="auto"/>
            <w:vAlign w:val="center"/>
          </w:tcPr>
          <w:p w14:paraId="4AD8F82D">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培训充分，经验丰富，安全意识强</w:t>
            </w:r>
          </w:p>
        </w:tc>
        <w:tc>
          <w:tcPr>
            <w:tcW w:w="1648" w:type="dxa"/>
            <w:shd w:val="clear" w:color="auto" w:fill="auto"/>
            <w:vAlign w:val="center"/>
          </w:tcPr>
          <w:p w14:paraId="14883D2B">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完好，无缺陷</w:t>
            </w:r>
          </w:p>
        </w:tc>
        <w:tc>
          <w:tcPr>
            <w:shd w:val="clear" w:color="auto" w:fill="auto"/>
            <w:vAlign w:val="center"/>
          </w:tcPr>
          <w:p w14:paraId="5C2DAA77">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通风、光照良好，温度适宜；系统停运且周围无运行设备</w:t>
            </w:r>
          </w:p>
        </w:tc>
        <w:tc>
          <w:tcPr>
            <w:shd w:val="clear" w:color="auto" w:fill="auto"/>
            <w:vAlign w:val="center"/>
          </w:tcPr>
          <w:p w14:paraId="7C1B6114">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auto"/>
                <w:sz w:val="32"/>
                <w:szCs w:val="32"/>
                <w:lang w:val="en-US" w:eastAsia="en-US" w:bidi="ar-SA"/>
              </w:rPr>
            </w:pPr>
            <w:r>
              <w:rPr>
                <w:rFonts w:hint="eastAsia" w:ascii="仿宋" w:hAnsi="仿宋" w:eastAsia="仿宋" w:cs="仿宋"/>
                <w:snapToGrid w:val="0"/>
                <w:color w:val="auto"/>
                <w:sz w:val="32"/>
                <w:szCs w:val="32"/>
                <w:lang w:val="en-US" w:eastAsia="en-US" w:bidi="ar-SA"/>
              </w:rPr>
              <w:t>有，完善，严格执行</w:t>
            </w:r>
          </w:p>
        </w:tc>
      </w:tr>
    </w:tbl>
    <w:p w14:paraId="66CF4F1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注：当缺少基础资料或者无法取得充分可靠的数据或者分析数据不具有成本效益性时，取值可参照类似性质、规模企业的业内平均水平。</w:t>
      </w:r>
    </w:p>
    <w:p w14:paraId="5EA8DE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3.风险事件后果严重程度（S）取值</w:t>
      </w:r>
    </w:p>
    <w:p w14:paraId="1338AB0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从人员伤亡、经济损失二个维度对风险事件后果严重程度进行评价取值，以最大值作为最终S值，即满足若干条件之一时就取对应的S值，而无需满足所有条件。</w:t>
      </w:r>
    </w:p>
    <w:p w14:paraId="726398FB">
      <w:pPr>
        <w:pStyle w:val="2"/>
        <w:rPr>
          <w:rFonts w:hint="eastAsia"/>
          <w:lang w:val="en-US" w:eastAsia="en-US"/>
        </w:rPr>
      </w:pPr>
    </w:p>
    <w:p w14:paraId="6E2BB1D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风险事件后果严重程度（S）参考取值表</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376"/>
        <w:gridCol w:w="3429"/>
        <w:gridCol w:w="4974"/>
      </w:tblGrid>
      <w:tr w14:paraId="043CC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0013FB2">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S</w:t>
            </w:r>
          </w:p>
        </w:tc>
        <w:tc>
          <w:tcPr>
            <w:shd w:val="clear" w:color="auto" w:fill="auto"/>
            <w:vAlign w:val="center"/>
          </w:tcPr>
          <w:p w14:paraId="7DB015A0">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可能造成的人身伤害</w:t>
            </w:r>
          </w:p>
        </w:tc>
        <w:tc>
          <w:tcPr>
            <w:shd w:val="clear" w:color="auto" w:fill="auto"/>
            <w:vAlign w:val="center"/>
          </w:tcPr>
          <w:p w14:paraId="7A742DAF">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可能造成的财产损失、设备设施损坏</w:t>
            </w:r>
          </w:p>
        </w:tc>
      </w:tr>
      <w:tr w14:paraId="69E1D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0FB5109">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w:t>
            </w:r>
          </w:p>
        </w:tc>
        <w:tc>
          <w:tcPr>
            <w:shd w:val="clear" w:color="auto" w:fill="auto"/>
            <w:vAlign w:val="center"/>
          </w:tcPr>
          <w:p w14:paraId="1F2B8173">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3人及以上死亡或7人及以上重伤</w:t>
            </w:r>
          </w:p>
        </w:tc>
        <w:tc>
          <w:tcPr>
            <w:shd w:val="clear" w:color="auto" w:fill="auto"/>
            <w:vAlign w:val="center"/>
          </w:tcPr>
          <w:p w14:paraId="3FA02453">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直接经济损失在1000万元及以上</w:t>
            </w:r>
          </w:p>
        </w:tc>
      </w:tr>
      <w:tr w14:paraId="4E311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6906860">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4</w:t>
            </w:r>
          </w:p>
        </w:tc>
        <w:tc>
          <w:tcPr>
            <w:shd w:val="clear" w:color="auto" w:fill="auto"/>
            <w:vAlign w:val="center"/>
          </w:tcPr>
          <w:p w14:paraId="20FAC1E7">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1-2人死亡或3-6人重伤</w:t>
            </w:r>
          </w:p>
        </w:tc>
        <w:tc>
          <w:tcPr>
            <w:shd w:val="clear" w:color="auto" w:fill="auto"/>
            <w:vAlign w:val="center"/>
          </w:tcPr>
          <w:p w14:paraId="4C91909C">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直接经济损失在100万元及以上，1000万元以下</w:t>
            </w:r>
          </w:p>
        </w:tc>
      </w:tr>
      <w:tr w14:paraId="69180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694E15B">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c>
          <w:tcPr>
            <w:shd w:val="clear" w:color="auto" w:fill="auto"/>
            <w:vAlign w:val="center"/>
          </w:tcPr>
          <w:p w14:paraId="4F6BFB78">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造成1至2人重伤或3至6人轻伤</w:t>
            </w:r>
          </w:p>
        </w:tc>
        <w:tc>
          <w:tcPr>
            <w:shd w:val="clear" w:color="auto" w:fill="auto"/>
            <w:vAlign w:val="center"/>
          </w:tcPr>
          <w:p w14:paraId="058DBDBA">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直接经济损失在10万元及以上，100万元以下</w:t>
            </w:r>
          </w:p>
        </w:tc>
      </w:tr>
      <w:tr w14:paraId="7B8D9C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F52F4C0">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c>
          <w:tcPr>
            <w:shd w:val="clear" w:color="auto" w:fill="auto"/>
            <w:vAlign w:val="center"/>
          </w:tcPr>
          <w:p w14:paraId="08247553">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1至2人轻伤</w:t>
            </w:r>
          </w:p>
        </w:tc>
        <w:tc>
          <w:tcPr>
            <w:shd w:val="clear" w:color="auto" w:fill="auto"/>
            <w:vAlign w:val="center"/>
          </w:tcPr>
          <w:p w14:paraId="6ECC5CCF">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直接经济损失一万元及以上，10万元以下</w:t>
            </w:r>
          </w:p>
        </w:tc>
      </w:tr>
      <w:tr w14:paraId="6F2B2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17FD8AE9">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c>
          <w:tcPr>
            <w:shd w:val="clear" w:color="auto" w:fill="auto"/>
            <w:vAlign w:val="center"/>
          </w:tcPr>
          <w:p w14:paraId="24446B25">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1至2人轻微伤</w:t>
            </w:r>
          </w:p>
        </w:tc>
        <w:tc>
          <w:tcPr>
            <w:shd w:val="clear" w:color="auto" w:fill="auto"/>
            <w:vAlign w:val="center"/>
          </w:tcPr>
          <w:p w14:paraId="677C8E0A">
            <w:pPr>
              <w:kinsoku w:val="0"/>
              <w:autoSpaceDE w:val="0"/>
              <w:autoSpaceDN w:val="0"/>
              <w:adjustRightInd w:val="0"/>
              <w:snapToGrid w:val="0"/>
              <w:spacing w:before="60" w:after="60"/>
              <w:ind w:firstLine="0" w:firstLineChars="0"/>
              <w:jc w:val="both"/>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直接经济损失在1万元以下</w:t>
            </w:r>
          </w:p>
        </w:tc>
      </w:tr>
    </w:tbl>
    <w:p w14:paraId="7E36394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napToGrid w:val="0"/>
          <w:color w:val="000000"/>
          <w:sz w:val="32"/>
          <w:szCs w:val="32"/>
          <w:lang w:val="en-US" w:eastAsia="en-US" w:bidi="ar-SA"/>
        </w:rPr>
      </w:pPr>
    </w:p>
    <w:p w14:paraId="5161237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4.风险评价</w:t>
      </w:r>
    </w:p>
    <w:p w14:paraId="04D24AA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风险评价是根据风险分析的结果，确定风险等级。</w:t>
      </w:r>
    </w:p>
    <w:p w14:paraId="688AFEE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4.1风险值（R）</w:t>
      </w:r>
    </w:p>
    <w:p w14:paraId="5AEE8A8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根据公式R=L×S计算出风险的风险值（R），并取最大值作为该风险的最终风险值（R）。</w:t>
      </w:r>
    </w:p>
    <w:p w14:paraId="2432C4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28"/>
          <w:szCs w:val="28"/>
          <w:lang w:val="en-US" w:eastAsia="en-US" w:bidi="ar-SA"/>
        </w:rPr>
      </w:pPr>
    </w:p>
    <w:p w14:paraId="5BDD6DF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风险矩阵（R）</w:t>
      </w:r>
    </w:p>
    <w:p w14:paraId="7A2A1209">
      <w:pPr>
        <w:kinsoku w:val="0"/>
        <w:autoSpaceDE w:val="0"/>
        <w:autoSpaceDN w:val="0"/>
        <w:adjustRightInd w:val="0"/>
        <w:snapToGrid w:val="0"/>
        <w:ind w:left="0" w:leftChars="0" w:firstLine="0" w:firstLineChars="0"/>
        <w:jc w:val="center"/>
        <w:textAlignment w:val="baseline"/>
        <w:rPr>
          <w:rFonts w:ascii="宋体" w:hAnsi="宋体" w:eastAsia="宋体" w:cs="宋体"/>
          <w:snapToGrid w:val="0"/>
          <w:color w:val="000000"/>
          <w:sz w:val="28"/>
          <w:szCs w:val="28"/>
          <w:lang w:val="en-US" w:eastAsia="en-US" w:bidi="ar-SA"/>
        </w:rPr>
      </w:pPr>
      <w:r>
        <w:rPr>
          <w:rFonts w:ascii="宋体" w:hAnsi="宋体" w:eastAsia="宋体" w:cs="宋体"/>
          <w:snapToGrid w:val="0"/>
          <w:color w:val="000000"/>
          <w:sz w:val="28"/>
          <w:szCs w:val="28"/>
          <w:lang w:val="en-US" w:eastAsia="en-US" w:bidi="ar-SA"/>
        </w:rP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7"/>
                    <a:stretch>
                      <a:fillRect/>
                    </a:stretch>
                  </pic:blipFill>
                  <pic:spPr>
                    <a:xfrm>
                      <a:off x="0" y="0"/>
                      <a:ext cx="5201920" cy="2435225"/>
                    </a:xfrm>
                    <a:prstGeom prst="rect">
                      <a:avLst/>
                    </a:prstGeom>
                    <a:noFill/>
                    <a:ln w="9525">
                      <a:noFill/>
                    </a:ln>
                  </pic:spPr>
                </pic:pic>
              </a:graphicData>
            </a:graphic>
          </wp:inline>
        </w:drawing>
      </w:r>
    </w:p>
    <w:p w14:paraId="4FB1FCF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4.2风险等级</w:t>
      </w:r>
    </w:p>
    <w:p w14:paraId="1E823FA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根据风险值（R）的大小，将风险由高到低分为重大风险、较大风险、一般风险和低风险四个等级。</w:t>
      </w:r>
    </w:p>
    <w:p w14:paraId="77200635">
      <w:pPr>
        <w:pStyle w:val="2"/>
        <w:rPr>
          <w:rFonts w:hint="eastAsia"/>
          <w:lang w:val="en-US" w:eastAsia="en-US"/>
        </w:rPr>
      </w:pPr>
    </w:p>
    <w:p w14:paraId="147C7C5B">
      <w:pPr>
        <w:kinsoku w:val="0"/>
        <w:autoSpaceDE w:val="0"/>
        <w:autoSpaceDN w:val="0"/>
        <w:adjustRightInd w:val="0"/>
        <w:snapToGrid w:val="0"/>
        <w:ind w:left="0" w:leftChars="0" w:firstLine="0" w:firstLineChars="0"/>
        <w:jc w:val="center"/>
        <w:textAlignment w:val="baseline"/>
        <w:rPr>
          <w:rFonts w:ascii="宋体" w:hAnsi="宋体" w:eastAsia="宋体" w:cs="宋体"/>
          <w:snapToGrid w:val="0"/>
          <w:color w:val="000000"/>
          <w:sz w:val="28"/>
          <w:szCs w:val="28"/>
          <w:lang w:val="en-US" w:eastAsia="en-US" w:bidi="ar-SA"/>
        </w:rPr>
      </w:pPr>
      <w:r>
        <w:rPr>
          <w:rFonts w:ascii="宋体" w:hAnsi="宋体" w:eastAsia="宋体" w:cs="宋体"/>
          <w:snapToGrid w:val="0"/>
          <w:color w:val="000000"/>
          <w:sz w:val="28"/>
          <w:szCs w:val="28"/>
          <w:lang w:val="en-US" w:eastAsia="en-US" w:bidi="ar-SA"/>
        </w:rP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8"/>
                    <a:stretch>
                      <a:fillRect/>
                    </a:stretch>
                  </pic:blipFill>
                  <pic:spPr>
                    <a:xfrm>
                      <a:off x="0" y="0"/>
                      <a:ext cx="5735320" cy="2129155"/>
                    </a:xfrm>
                    <a:prstGeom prst="rect">
                      <a:avLst/>
                    </a:prstGeom>
                    <a:noFill/>
                    <a:ln w="9525">
                      <a:noFill/>
                    </a:ln>
                  </pic:spPr>
                </pic:pic>
              </a:graphicData>
            </a:graphic>
          </wp:inline>
        </w:drawing>
      </w:r>
    </w:p>
    <w:p w14:paraId="28FC24D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napToGrid w:val="0"/>
          <w:color w:val="000000"/>
          <w:sz w:val="32"/>
          <w:szCs w:val="32"/>
          <w:lang w:val="en-US" w:eastAsia="en-US" w:bidi="ar-SA"/>
        </w:rPr>
      </w:pPr>
    </w:p>
    <w:p w14:paraId="6FE56EB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LEC法安全风险评价判定准则</w:t>
      </w:r>
    </w:p>
    <w:p w14:paraId="03C5770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表1</w:t>
      </w:r>
      <w:r>
        <w:rPr>
          <w:rFonts w:hint="eastAsia" w:ascii="仿宋" w:hAnsi="仿宋" w:eastAsia="仿宋" w:cs="仿宋"/>
          <w:b/>
          <w:bCs/>
          <w:snapToGrid w:val="0"/>
          <w:color w:val="000000"/>
          <w:sz w:val="32"/>
          <w:szCs w:val="32"/>
          <w:lang w:val="en-US" w:eastAsia="zh-CN" w:bidi="ar-SA"/>
        </w:rPr>
        <w:t xml:space="preserve"> </w:t>
      </w:r>
      <w:r>
        <w:rPr>
          <w:rFonts w:hint="eastAsia" w:ascii="仿宋" w:hAnsi="仿宋" w:eastAsia="仿宋" w:cs="仿宋"/>
          <w:b/>
          <w:bCs/>
          <w:snapToGrid w:val="0"/>
          <w:color w:val="000000"/>
          <w:sz w:val="32"/>
          <w:szCs w:val="32"/>
          <w:lang w:val="en-US" w:eastAsia="en-US" w:bidi="ar-SA"/>
        </w:rPr>
        <w:t>可能性（L）基准值</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5"/>
        <w:gridCol w:w="4859"/>
        <w:gridCol w:w="2465"/>
        <w:gridCol w:w="770"/>
      </w:tblGrid>
      <w:tr w14:paraId="7B766E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21B5405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序号</w:t>
            </w:r>
          </w:p>
        </w:tc>
        <w:tc>
          <w:tcPr>
            <w:gridSpan w:val="2"/>
            <w:shd w:val="clear" w:color="auto" w:fill="auto"/>
            <w:vAlign w:val="center"/>
          </w:tcPr>
          <w:p w14:paraId="0FE81507">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事故发生的可能性</w:t>
            </w:r>
          </w:p>
        </w:tc>
        <w:tc>
          <w:tcPr>
            <w:vMerge w:val="restart"/>
            <w:shd w:val="clear" w:color="auto" w:fill="auto"/>
            <w:vAlign w:val="center"/>
          </w:tcPr>
          <w:p w14:paraId="248A95A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分值</w:t>
            </w:r>
          </w:p>
        </w:tc>
      </w:tr>
      <w:tr w14:paraId="1352B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46658C9B">
            <w:pPr>
              <w:rPr>
                <w:rFonts w:hint="eastAsia" w:ascii="仿宋" w:hAnsi="仿宋" w:eastAsia="仿宋" w:cs="仿宋"/>
                <w:sz w:val="32"/>
                <w:szCs w:val="32"/>
                <w:lang w:eastAsia="zh-CN"/>
              </w:rPr>
            </w:pPr>
          </w:p>
        </w:tc>
        <w:tc>
          <w:tcPr>
            <w:shd w:val="clear" w:color="auto" w:fill="auto"/>
            <w:vAlign w:val="center"/>
          </w:tcPr>
          <w:p w14:paraId="41380E31">
            <w:pPr>
              <w:kinsoku w:val="0"/>
              <w:autoSpaceDE w:val="0"/>
              <w:autoSpaceDN w:val="0"/>
              <w:adjustRightInd w:val="0"/>
              <w:snapToGrid w:val="0"/>
              <w:spacing w:before="60" w:after="60"/>
              <w:ind w:firstLine="0" w:firstLineChars="0"/>
              <w:jc w:val="left"/>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人员伤亡、火灾、设备损坏、生产中断、环境污染</w:t>
            </w:r>
          </w:p>
        </w:tc>
        <w:tc>
          <w:tcPr>
            <w:shd w:val="clear" w:color="auto" w:fill="auto"/>
            <w:vAlign w:val="center"/>
          </w:tcPr>
          <w:p w14:paraId="7576220F">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职业健康损害</w:t>
            </w:r>
          </w:p>
        </w:tc>
        <w:tc>
          <w:tcPr>
            <w:vMerge w:val="continue"/>
            <w:shd w:val="clear" w:color="auto" w:fill="auto"/>
            <w:vAlign w:val="center"/>
          </w:tcPr>
          <w:p w14:paraId="1B00163A">
            <w:pPr>
              <w:rPr>
                <w:rFonts w:hint="eastAsia" w:ascii="仿宋" w:hAnsi="仿宋" w:eastAsia="仿宋" w:cs="仿宋"/>
                <w:sz w:val="32"/>
                <w:szCs w:val="32"/>
                <w:lang w:eastAsia="zh-CN"/>
              </w:rPr>
            </w:pPr>
          </w:p>
        </w:tc>
      </w:tr>
      <w:tr w14:paraId="24C30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5671AFE0">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c>
          <w:tcPr>
            <w:shd w:val="clear" w:color="auto" w:fill="auto"/>
            <w:vAlign w:val="center"/>
          </w:tcPr>
          <w:p w14:paraId="1284D187">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如果危害事件发生，即产生最可能和预期的结果（100%）</w:t>
            </w:r>
          </w:p>
        </w:tc>
        <w:tc>
          <w:tcPr>
            <w:shd w:val="clear" w:color="auto" w:fill="auto"/>
            <w:vAlign w:val="center"/>
          </w:tcPr>
          <w:p w14:paraId="1A114AA0">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频繁：平均每6个月发生一次</w:t>
            </w:r>
          </w:p>
        </w:tc>
        <w:tc>
          <w:tcPr>
            <w:shd w:val="clear" w:color="auto" w:fill="auto"/>
            <w:vAlign w:val="center"/>
          </w:tcPr>
          <w:p w14:paraId="11674AF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10</w:t>
            </w:r>
          </w:p>
        </w:tc>
      </w:tr>
      <w:tr w14:paraId="4EAE7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3BF8FF0">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c>
          <w:tcPr>
            <w:shd w:val="clear" w:color="auto" w:fill="auto"/>
            <w:vAlign w:val="center"/>
          </w:tcPr>
          <w:p w14:paraId="36F018B2">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十分可能（50%）</w:t>
            </w:r>
          </w:p>
        </w:tc>
        <w:tc>
          <w:tcPr>
            <w:shd w:val="clear" w:color="auto" w:fill="auto"/>
            <w:vAlign w:val="center"/>
          </w:tcPr>
          <w:p w14:paraId="171D2666">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持续：平均每1年发生一次</w:t>
            </w:r>
          </w:p>
        </w:tc>
        <w:tc>
          <w:tcPr>
            <w:shd w:val="clear" w:color="auto" w:fill="auto"/>
            <w:vAlign w:val="center"/>
          </w:tcPr>
          <w:p w14:paraId="60F4A52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6</w:t>
            </w:r>
          </w:p>
        </w:tc>
      </w:tr>
      <w:tr w14:paraId="5CB60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8CDB87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c>
          <w:tcPr>
            <w:shd w:val="clear" w:color="auto" w:fill="auto"/>
            <w:vAlign w:val="center"/>
          </w:tcPr>
          <w:p w14:paraId="00517B36">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可能（25%）</w:t>
            </w:r>
          </w:p>
        </w:tc>
        <w:tc>
          <w:tcPr>
            <w:shd w:val="clear" w:color="auto" w:fill="auto"/>
            <w:vAlign w:val="center"/>
          </w:tcPr>
          <w:p w14:paraId="09CCE3EB">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经常：平均每1～2年发生一次</w:t>
            </w:r>
          </w:p>
        </w:tc>
        <w:tc>
          <w:tcPr>
            <w:shd w:val="clear" w:color="auto" w:fill="auto"/>
            <w:vAlign w:val="center"/>
          </w:tcPr>
          <w:p w14:paraId="7A5C259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r>
      <w:tr w14:paraId="6C530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4C0F7D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4</w:t>
            </w:r>
          </w:p>
        </w:tc>
        <w:tc>
          <w:tcPr>
            <w:shd w:val="clear" w:color="auto" w:fill="auto"/>
            <w:vAlign w:val="center"/>
          </w:tcPr>
          <w:p w14:paraId="5D6444A2">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很少的可能性，据说曾经发生过</w:t>
            </w:r>
          </w:p>
        </w:tc>
        <w:tc>
          <w:tcPr>
            <w:shd w:val="clear" w:color="auto" w:fill="auto"/>
            <w:vAlign w:val="center"/>
          </w:tcPr>
          <w:p w14:paraId="53CE3C32">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偶然：3～9年发生一次</w:t>
            </w:r>
          </w:p>
        </w:tc>
        <w:tc>
          <w:tcPr>
            <w:shd w:val="clear" w:color="auto" w:fill="auto"/>
            <w:vAlign w:val="center"/>
          </w:tcPr>
          <w:p w14:paraId="3215CC6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r>
      <w:tr w14:paraId="72653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16DE5C6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w:t>
            </w:r>
          </w:p>
        </w:tc>
        <w:tc>
          <w:tcPr>
            <w:shd w:val="clear" w:color="auto" w:fill="auto"/>
            <w:vAlign w:val="center"/>
          </w:tcPr>
          <w:p w14:paraId="7655A7A0">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相当少但确有可能，多年没有发生过</w:t>
            </w:r>
          </w:p>
        </w:tc>
        <w:tc>
          <w:tcPr>
            <w:shd w:val="clear" w:color="auto" w:fill="auto"/>
            <w:vAlign w:val="center"/>
          </w:tcPr>
          <w:p w14:paraId="5F34B21C">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很难：10～20年发生一次</w:t>
            </w:r>
          </w:p>
        </w:tc>
        <w:tc>
          <w:tcPr>
            <w:shd w:val="clear" w:color="auto" w:fill="auto"/>
            <w:vAlign w:val="center"/>
          </w:tcPr>
          <w:p w14:paraId="0742699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0.5</w:t>
            </w:r>
          </w:p>
        </w:tc>
      </w:tr>
      <w:tr w14:paraId="57926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3822C217">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6</w:t>
            </w:r>
          </w:p>
        </w:tc>
        <w:tc>
          <w:tcPr>
            <w:shd w:val="clear" w:color="auto" w:fill="auto"/>
            <w:vAlign w:val="center"/>
          </w:tcPr>
          <w:p w14:paraId="0A35A5D9">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百万分之一的可能性，尽管暴露了许多年，但从来没有发生过</w:t>
            </w:r>
          </w:p>
        </w:tc>
        <w:tc>
          <w:tcPr>
            <w:shd w:val="clear" w:color="auto" w:fill="auto"/>
            <w:vAlign w:val="center"/>
          </w:tcPr>
          <w:p w14:paraId="18354CCB">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罕见：几乎从未发生过</w:t>
            </w:r>
          </w:p>
        </w:tc>
        <w:tc>
          <w:tcPr>
            <w:shd w:val="clear" w:color="auto" w:fill="auto"/>
            <w:vAlign w:val="center"/>
          </w:tcPr>
          <w:p w14:paraId="2A51A60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0.1</w:t>
            </w:r>
          </w:p>
        </w:tc>
      </w:tr>
    </w:tbl>
    <w:p w14:paraId="4AE308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p>
    <w:p w14:paraId="2DC7131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表2</w:t>
      </w:r>
      <w:r>
        <w:rPr>
          <w:rFonts w:hint="eastAsia" w:ascii="仿宋" w:hAnsi="仿宋" w:eastAsia="仿宋" w:cs="仿宋"/>
          <w:b/>
          <w:bCs/>
          <w:snapToGrid w:val="0"/>
          <w:color w:val="000000"/>
          <w:sz w:val="32"/>
          <w:szCs w:val="32"/>
          <w:lang w:val="en-US" w:eastAsia="zh-CN" w:bidi="ar-SA"/>
        </w:rPr>
        <w:t xml:space="preserve"> </w:t>
      </w:r>
      <w:r>
        <w:rPr>
          <w:rFonts w:hint="eastAsia" w:ascii="仿宋" w:hAnsi="仿宋" w:eastAsia="仿宋" w:cs="仿宋"/>
          <w:b/>
          <w:bCs/>
          <w:snapToGrid w:val="0"/>
          <w:color w:val="000000"/>
          <w:sz w:val="32"/>
          <w:szCs w:val="32"/>
          <w:lang w:val="en-US" w:eastAsia="en-US" w:bidi="ar-SA"/>
        </w:rPr>
        <w:t>暴露率（E）基准值</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8"/>
        <w:gridCol w:w="3878"/>
        <w:gridCol w:w="3177"/>
        <w:gridCol w:w="773"/>
      </w:tblGrid>
      <w:tr w14:paraId="107EC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174CA8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序号</w:t>
            </w:r>
          </w:p>
        </w:tc>
        <w:tc>
          <w:tcPr>
            <w:gridSpan w:val="2"/>
            <w:shd w:val="clear" w:color="auto" w:fill="auto"/>
            <w:vAlign w:val="center"/>
          </w:tcPr>
          <w:p w14:paraId="00033453">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人员暴露于危险环境中的频繁程度</w:t>
            </w:r>
          </w:p>
        </w:tc>
        <w:tc>
          <w:tcPr>
            <w:vMerge w:val="restart"/>
            <w:shd w:val="clear" w:color="auto" w:fill="auto"/>
            <w:vAlign w:val="center"/>
          </w:tcPr>
          <w:p w14:paraId="0D094A9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分值</w:t>
            </w:r>
          </w:p>
        </w:tc>
      </w:tr>
      <w:tr w14:paraId="26CCC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4F0AB8A">
            <w:pPr>
              <w:rPr>
                <w:rFonts w:hint="eastAsia" w:ascii="仿宋" w:hAnsi="仿宋" w:eastAsia="仿宋" w:cs="仿宋"/>
                <w:sz w:val="32"/>
                <w:szCs w:val="32"/>
                <w:lang w:eastAsia="zh-CN"/>
              </w:rPr>
            </w:pPr>
          </w:p>
        </w:tc>
        <w:tc>
          <w:tcPr>
            <w:shd w:val="clear" w:color="auto" w:fill="auto"/>
            <w:vAlign w:val="center"/>
          </w:tcPr>
          <w:p w14:paraId="161358FE">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人员伤亡、火灾、设备损坏、生产中断、环境污染</w:t>
            </w:r>
          </w:p>
        </w:tc>
        <w:tc>
          <w:tcPr>
            <w:shd w:val="clear" w:color="auto" w:fill="auto"/>
            <w:vAlign w:val="center"/>
          </w:tcPr>
          <w:p w14:paraId="4516E85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职业健康损害</w:t>
            </w:r>
          </w:p>
        </w:tc>
        <w:tc>
          <w:tcPr>
            <w:vMerge w:val="continue"/>
            <w:shd w:val="clear" w:color="auto" w:fill="auto"/>
            <w:vAlign w:val="center"/>
          </w:tcPr>
          <w:p w14:paraId="7C015461">
            <w:pPr>
              <w:rPr>
                <w:rFonts w:hint="eastAsia" w:ascii="仿宋" w:hAnsi="仿宋" w:eastAsia="仿宋" w:cs="仿宋"/>
                <w:sz w:val="32"/>
                <w:szCs w:val="32"/>
                <w:lang w:eastAsia="zh-CN"/>
              </w:rPr>
            </w:pPr>
          </w:p>
        </w:tc>
      </w:tr>
      <w:tr w14:paraId="063A5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7220B3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c>
          <w:tcPr>
            <w:shd w:val="clear" w:color="auto" w:fill="auto"/>
            <w:vAlign w:val="center"/>
          </w:tcPr>
          <w:p w14:paraId="6935C87C">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持续（每天许多次）</w:t>
            </w:r>
          </w:p>
        </w:tc>
        <w:tc>
          <w:tcPr>
            <w:shd w:val="clear" w:color="auto" w:fill="auto"/>
            <w:vAlign w:val="center"/>
          </w:tcPr>
          <w:p w14:paraId="51D7E9B9">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暴露期大于2倍的法定极限值</w:t>
            </w:r>
          </w:p>
        </w:tc>
        <w:tc>
          <w:tcPr>
            <w:shd w:val="clear" w:color="auto" w:fill="auto"/>
            <w:vAlign w:val="center"/>
          </w:tcPr>
          <w:p w14:paraId="7E49245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10</w:t>
            </w:r>
          </w:p>
        </w:tc>
      </w:tr>
      <w:tr w14:paraId="6DDCC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12BC37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c>
          <w:tcPr>
            <w:shd w:val="clear" w:color="auto" w:fill="auto"/>
            <w:vAlign w:val="center"/>
          </w:tcPr>
          <w:p w14:paraId="3093AE2F">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经常（大概每天一次）</w:t>
            </w:r>
          </w:p>
        </w:tc>
        <w:tc>
          <w:tcPr>
            <w:shd w:val="clear" w:color="auto" w:fill="auto"/>
            <w:vAlign w:val="center"/>
          </w:tcPr>
          <w:p w14:paraId="3AC22B4C">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暴露期介于1～2倍法定极限值之间</w:t>
            </w:r>
          </w:p>
        </w:tc>
        <w:tc>
          <w:tcPr>
            <w:shd w:val="clear" w:color="auto" w:fill="auto"/>
            <w:vAlign w:val="center"/>
          </w:tcPr>
          <w:p w14:paraId="289F4588">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6</w:t>
            </w:r>
          </w:p>
        </w:tc>
      </w:tr>
      <w:tr w14:paraId="1A156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ABD3DE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c>
          <w:tcPr>
            <w:shd w:val="clear" w:color="auto" w:fill="auto"/>
            <w:vAlign w:val="center"/>
          </w:tcPr>
          <w:p w14:paraId="6130AAC0">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有时（从每周一次到每月一次）</w:t>
            </w:r>
          </w:p>
        </w:tc>
        <w:tc>
          <w:tcPr>
            <w:shd w:val="clear" w:color="auto" w:fill="auto"/>
            <w:vAlign w:val="center"/>
          </w:tcPr>
          <w:p w14:paraId="03A61234">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暴露期在法定极限值内</w:t>
            </w:r>
          </w:p>
        </w:tc>
        <w:tc>
          <w:tcPr>
            <w:shd w:val="clear" w:color="auto" w:fill="auto"/>
            <w:vAlign w:val="center"/>
          </w:tcPr>
          <w:p w14:paraId="1379C5F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r>
      <w:tr w14:paraId="17489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D3EECF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4</w:t>
            </w:r>
          </w:p>
        </w:tc>
        <w:tc>
          <w:tcPr>
            <w:shd w:val="clear" w:color="auto" w:fill="auto"/>
            <w:vAlign w:val="center"/>
          </w:tcPr>
          <w:p w14:paraId="35F920B1">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偶尔（从每月一次到每年一次）</w:t>
            </w:r>
          </w:p>
        </w:tc>
        <w:tc>
          <w:tcPr>
            <w:shd w:val="clear" w:color="auto" w:fill="auto"/>
            <w:vAlign w:val="center"/>
          </w:tcPr>
          <w:p w14:paraId="68E0A3C6">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暴露期在正常允许水平和法定极限值之间</w:t>
            </w:r>
          </w:p>
        </w:tc>
        <w:tc>
          <w:tcPr>
            <w:shd w:val="clear" w:color="auto" w:fill="auto"/>
            <w:vAlign w:val="center"/>
          </w:tcPr>
          <w:p w14:paraId="2AE607DE">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r>
      <w:tr w14:paraId="3EFE4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A0CA435">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w:t>
            </w:r>
          </w:p>
        </w:tc>
        <w:tc>
          <w:tcPr>
            <w:shd w:val="clear" w:color="auto" w:fill="auto"/>
            <w:vAlign w:val="center"/>
          </w:tcPr>
          <w:p w14:paraId="75C3C975">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很少（据说曾经发生过）</w:t>
            </w:r>
          </w:p>
        </w:tc>
        <w:tc>
          <w:tcPr>
            <w:shd w:val="clear" w:color="auto" w:fill="auto"/>
            <w:vAlign w:val="center"/>
          </w:tcPr>
          <w:p w14:paraId="27B511BD">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暴露期在正常允许水平内</w:t>
            </w:r>
          </w:p>
        </w:tc>
        <w:tc>
          <w:tcPr>
            <w:shd w:val="clear" w:color="auto" w:fill="auto"/>
            <w:vAlign w:val="center"/>
          </w:tcPr>
          <w:p w14:paraId="730DC0A1">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r>
      <w:tr w14:paraId="45F3E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F56692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6</w:t>
            </w:r>
          </w:p>
        </w:tc>
        <w:tc>
          <w:tcPr>
            <w:shd w:val="clear" w:color="auto" w:fill="auto"/>
            <w:vAlign w:val="center"/>
          </w:tcPr>
          <w:p w14:paraId="0EB0CFAE">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特别少（没发生过，但有发生的可能性）</w:t>
            </w:r>
          </w:p>
        </w:tc>
        <w:tc>
          <w:tcPr>
            <w:shd w:val="clear" w:color="auto" w:fill="auto"/>
            <w:vAlign w:val="center"/>
          </w:tcPr>
          <w:p w14:paraId="109C6653">
            <w:pPr>
              <w:kinsoku w:val="0"/>
              <w:autoSpaceDE w:val="0"/>
              <w:autoSpaceDN w:val="0"/>
              <w:adjustRightInd w:val="0"/>
              <w:snapToGrid w:val="0"/>
              <w:spacing w:before="60" w:after="60"/>
              <w:ind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暴露期低于正常允许水平</w:t>
            </w:r>
          </w:p>
        </w:tc>
        <w:tc>
          <w:tcPr>
            <w:shd w:val="clear" w:color="auto" w:fill="auto"/>
            <w:vAlign w:val="center"/>
          </w:tcPr>
          <w:p w14:paraId="47409053">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0.5</w:t>
            </w:r>
          </w:p>
        </w:tc>
      </w:tr>
    </w:tbl>
    <w:p w14:paraId="613631F3">
      <w:pPr>
        <w:kinsoku w:val="0"/>
        <w:autoSpaceDE w:val="0"/>
        <w:autoSpaceDN w:val="0"/>
        <w:adjustRightInd w:val="0"/>
        <w:snapToGrid w:val="0"/>
        <w:textAlignment w:val="baseline"/>
        <w:rPr>
          <w:rFonts w:hint="eastAsia" w:ascii="仿宋" w:hAnsi="仿宋" w:eastAsia="仿宋" w:cs="仿宋"/>
          <w:b/>
          <w:bCs/>
          <w:snapToGrid w:val="0"/>
          <w:color w:val="000000"/>
          <w:sz w:val="32"/>
          <w:szCs w:val="32"/>
          <w:lang w:val="en-US" w:eastAsia="en-US" w:bidi="ar-SA"/>
        </w:rPr>
      </w:pPr>
    </w:p>
    <w:p w14:paraId="456514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表3</w:t>
      </w:r>
      <w:r>
        <w:rPr>
          <w:rFonts w:hint="eastAsia" w:ascii="仿宋" w:hAnsi="仿宋" w:eastAsia="仿宋" w:cs="仿宋"/>
          <w:b/>
          <w:bCs/>
          <w:snapToGrid w:val="0"/>
          <w:color w:val="000000"/>
          <w:sz w:val="32"/>
          <w:szCs w:val="32"/>
          <w:lang w:val="en-US" w:eastAsia="zh-CN" w:bidi="ar-SA"/>
        </w:rPr>
        <w:t xml:space="preserve"> </w:t>
      </w:r>
      <w:r>
        <w:rPr>
          <w:rFonts w:hint="eastAsia" w:ascii="仿宋" w:hAnsi="仿宋" w:eastAsia="仿宋" w:cs="仿宋"/>
          <w:b/>
          <w:bCs/>
          <w:snapToGrid w:val="0"/>
          <w:color w:val="000000"/>
          <w:sz w:val="32"/>
          <w:szCs w:val="32"/>
          <w:lang w:val="en-US" w:eastAsia="en-US" w:bidi="ar-SA"/>
        </w:rPr>
        <w:t>后果（C）基准值</w:t>
      </w:r>
    </w:p>
    <w:tbl>
      <w:tblPr>
        <w:tblStyle w:val="16"/>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0"/>
        <w:gridCol w:w="2130"/>
        <w:gridCol w:w="2130"/>
        <w:gridCol w:w="2130"/>
      </w:tblGrid>
      <w:tr w14:paraId="4842C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EFBE7E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序号</w:t>
            </w:r>
          </w:p>
        </w:tc>
        <w:tc>
          <w:tcPr>
            <w:gridSpan w:val="2"/>
            <w:shd w:val="clear" w:color="auto" w:fill="auto"/>
            <w:vAlign w:val="center"/>
          </w:tcPr>
          <w:p w14:paraId="4BF7DCBF">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事故可能造成后果的严重程度</w:t>
            </w:r>
          </w:p>
        </w:tc>
        <w:tc>
          <w:tcPr>
            <w:shd w:val="clear" w:color="auto" w:fill="auto"/>
            <w:vAlign w:val="center"/>
          </w:tcPr>
          <w:p w14:paraId="2DBA8DB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分值</w:t>
            </w:r>
          </w:p>
        </w:tc>
      </w:tr>
      <w:tr w14:paraId="16E50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19E166C">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c>
          <w:tcPr>
            <w:shd w:val="clear" w:color="auto" w:fill="auto"/>
            <w:vAlign w:val="center"/>
          </w:tcPr>
          <w:p w14:paraId="622634B1">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1C3C32AA">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（1）造成死亡≥3人；或重伤≥10人。</w:t>
            </w:r>
          </w:p>
        </w:tc>
        <w:tc>
          <w:tcPr>
            <w:vMerge w:val="restart"/>
            <w:shd w:val="clear" w:color="auto" w:fill="auto"/>
            <w:vAlign w:val="center"/>
          </w:tcPr>
          <w:p w14:paraId="4540FC6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100</w:t>
            </w:r>
          </w:p>
        </w:tc>
      </w:tr>
      <w:tr w14:paraId="7CBDA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199F55B">
            <w:pPr>
              <w:rPr>
                <w:rFonts w:hint="eastAsia" w:ascii="仿宋" w:hAnsi="仿宋" w:eastAsia="仿宋" w:cs="仿宋"/>
                <w:sz w:val="32"/>
                <w:szCs w:val="32"/>
                <w:lang w:eastAsia="zh-CN"/>
              </w:rPr>
            </w:pPr>
          </w:p>
        </w:tc>
        <w:tc>
          <w:tcPr>
            <w:shd w:val="clear" w:color="auto" w:fill="auto"/>
            <w:vAlign w:val="center"/>
          </w:tcPr>
          <w:p w14:paraId="65D9C75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48492BF9">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（1）造成设备或财产损失≥1000万元。</w:t>
            </w:r>
          </w:p>
        </w:tc>
        <w:tc>
          <w:tcPr>
            <w:vMerge w:val="continue"/>
            <w:shd w:val="clear" w:color="auto" w:fill="auto"/>
            <w:vAlign w:val="center"/>
          </w:tcPr>
          <w:p w14:paraId="7457D7BE">
            <w:pPr>
              <w:rPr>
                <w:rFonts w:hint="eastAsia" w:ascii="仿宋" w:hAnsi="仿宋" w:eastAsia="仿宋" w:cs="仿宋"/>
                <w:sz w:val="32"/>
                <w:szCs w:val="32"/>
                <w:lang w:eastAsia="zh-CN"/>
              </w:rPr>
            </w:pPr>
          </w:p>
        </w:tc>
      </w:tr>
      <w:tr w14:paraId="799C9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194C116">
            <w:pPr>
              <w:rPr>
                <w:rFonts w:hint="eastAsia" w:ascii="仿宋" w:hAnsi="仿宋" w:eastAsia="仿宋" w:cs="仿宋"/>
                <w:sz w:val="32"/>
                <w:szCs w:val="32"/>
                <w:lang w:eastAsia="zh-CN"/>
              </w:rPr>
            </w:pPr>
          </w:p>
        </w:tc>
        <w:tc>
          <w:tcPr>
            <w:shd w:val="clear" w:color="auto" w:fill="auto"/>
            <w:vAlign w:val="center"/>
          </w:tcPr>
          <w:p w14:paraId="550FFA1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06C8DC81">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（1）造成较大以上电力安全事故。</w:t>
            </w:r>
          </w:p>
        </w:tc>
        <w:tc>
          <w:tcPr>
            <w:vMerge w:val="continue"/>
            <w:shd w:val="clear" w:color="auto" w:fill="auto"/>
            <w:vAlign w:val="center"/>
          </w:tcPr>
          <w:p w14:paraId="6FE50ABF">
            <w:pPr>
              <w:rPr>
                <w:rFonts w:hint="eastAsia" w:ascii="仿宋" w:hAnsi="仿宋" w:eastAsia="仿宋" w:cs="仿宋"/>
                <w:sz w:val="32"/>
                <w:szCs w:val="32"/>
                <w:lang w:eastAsia="zh-CN"/>
              </w:rPr>
            </w:pPr>
          </w:p>
        </w:tc>
      </w:tr>
      <w:tr w14:paraId="672EB6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26990E9">
            <w:pPr>
              <w:rPr>
                <w:rFonts w:hint="eastAsia" w:ascii="仿宋" w:hAnsi="仿宋" w:eastAsia="仿宋" w:cs="仿宋"/>
                <w:sz w:val="32"/>
                <w:szCs w:val="32"/>
                <w:lang w:eastAsia="zh-CN"/>
              </w:rPr>
            </w:pPr>
          </w:p>
        </w:tc>
        <w:tc>
          <w:tcPr>
            <w:shd w:val="clear" w:color="auto" w:fill="auto"/>
            <w:vAlign w:val="center"/>
          </w:tcPr>
          <w:p w14:paraId="2E25831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3D58975F">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（1）造成大范围环境破坏；</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（2）造成人员死亡、环境恢复困难；</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（3）严重违反国家环境保护法律法规。</w:t>
            </w:r>
          </w:p>
        </w:tc>
        <w:tc>
          <w:tcPr>
            <w:vMerge w:val="continue"/>
            <w:shd w:val="clear" w:color="auto" w:fill="auto"/>
            <w:vAlign w:val="center"/>
          </w:tcPr>
          <w:p w14:paraId="088F3F27">
            <w:pPr>
              <w:rPr>
                <w:rFonts w:hint="eastAsia" w:ascii="仿宋" w:hAnsi="仿宋" w:eastAsia="仿宋" w:cs="仿宋"/>
                <w:sz w:val="32"/>
                <w:szCs w:val="32"/>
                <w:lang w:eastAsia="zh-CN"/>
              </w:rPr>
            </w:pPr>
          </w:p>
        </w:tc>
      </w:tr>
      <w:tr w14:paraId="12BBD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83B6E59">
            <w:pPr>
              <w:rPr>
                <w:rFonts w:hint="eastAsia" w:ascii="仿宋" w:hAnsi="仿宋" w:eastAsia="仿宋" w:cs="仿宋"/>
                <w:sz w:val="32"/>
                <w:szCs w:val="32"/>
                <w:lang w:eastAsia="zh-CN"/>
              </w:rPr>
            </w:pPr>
          </w:p>
        </w:tc>
        <w:tc>
          <w:tcPr>
            <w:shd w:val="clear" w:color="auto" w:fill="auto"/>
            <w:vAlign w:val="center"/>
          </w:tcPr>
          <w:p w14:paraId="087EDB8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0E7ED128">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（1）造成3～9例无法复原的严重职业病；</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（2）造成9例以上很难治愈的职业病。</w:t>
            </w:r>
          </w:p>
        </w:tc>
        <w:tc>
          <w:tcPr>
            <w:vMerge w:val="continue"/>
            <w:shd w:val="clear" w:color="auto" w:fill="auto"/>
            <w:vAlign w:val="center"/>
          </w:tcPr>
          <w:p w14:paraId="76859EF4">
            <w:pPr>
              <w:rPr>
                <w:rFonts w:hint="eastAsia" w:ascii="仿宋" w:hAnsi="仿宋" w:eastAsia="仿宋" w:cs="仿宋"/>
                <w:sz w:val="32"/>
                <w:szCs w:val="32"/>
                <w:lang w:eastAsia="zh-CN"/>
              </w:rPr>
            </w:pPr>
          </w:p>
        </w:tc>
      </w:tr>
      <w:tr w14:paraId="4417C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2432FCC">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c>
          <w:tcPr>
            <w:shd w:val="clear" w:color="auto" w:fill="auto"/>
            <w:vAlign w:val="center"/>
          </w:tcPr>
          <w:p w14:paraId="4EB6559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747BA162">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（1）造成1～2人死亡；或重伤3～9人。</w:t>
            </w:r>
          </w:p>
        </w:tc>
        <w:tc>
          <w:tcPr>
            <w:vMerge w:val="restart"/>
            <w:shd w:val="clear" w:color="auto" w:fill="auto"/>
            <w:vAlign w:val="center"/>
          </w:tcPr>
          <w:p w14:paraId="3D792AE7">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50</w:t>
            </w:r>
          </w:p>
        </w:tc>
      </w:tr>
      <w:tr w14:paraId="613F1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A8449D8">
            <w:pPr>
              <w:rPr>
                <w:rFonts w:hint="eastAsia" w:ascii="仿宋" w:hAnsi="仿宋" w:eastAsia="仿宋" w:cs="仿宋"/>
                <w:sz w:val="32"/>
                <w:szCs w:val="32"/>
                <w:lang w:eastAsia="zh-CN"/>
              </w:rPr>
            </w:pPr>
          </w:p>
        </w:tc>
        <w:tc>
          <w:tcPr>
            <w:shd w:val="clear" w:color="auto" w:fill="auto"/>
            <w:vAlign w:val="center"/>
          </w:tcPr>
          <w:p w14:paraId="1714C9D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21198419">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（1）造成设备或财产损失在100万元到1000万元之间。</w:t>
            </w:r>
          </w:p>
        </w:tc>
        <w:tc>
          <w:tcPr>
            <w:vMerge w:val="continue"/>
            <w:shd w:val="clear" w:color="auto" w:fill="auto"/>
            <w:vAlign w:val="center"/>
          </w:tcPr>
          <w:p w14:paraId="2C027E25">
            <w:pPr>
              <w:rPr>
                <w:rFonts w:hint="eastAsia" w:ascii="仿宋" w:hAnsi="仿宋" w:eastAsia="仿宋" w:cs="仿宋"/>
                <w:sz w:val="32"/>
                <w:szCs w:val="32"/>
                <w:lang w:eastAsia="zh-CN"/>
              </w:rPr>
            </w:pPr>
          </w:p>
        </w:tc>
      </w:tr>
      <w:tr w14:paraId="5D1F7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989FA16">
            <w:pPr>
              <w:rPr>
                <w:rFonts w:hint="eastAsia" w:ascii="仿宋" w:hAnsi="仿宋" w:eastAsia="仿宋" w:cs="仿宋"/>
                <w:sz w:val="32"/>
                <w:szCs w:val="32"/>
                <w:lang w:eastAsia="zh-CN"/>
              </w:rPr>
            </w:pPr>
          </w:p>
        </w:tc>
        <w:tc>
          <w:tcPr>
            <w:shd w:val="clear" w:color="auto" w:fill="auto"/>
            <w:vAlign w:val="center"/>
          </w:tcPr>
          <w:p w14:paraId="4FEA8B3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6944E112">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（1）造成一般电力安全事故且中断安全记录。</w:t>
            </w:r>
          </w:p>
        </w:tc>
        <w:tc>
          <w:tcPr>
            <w:vMerge w:val="continue"/>
            <w:shd w:val="clear" w:color="auto" w:fill="auto"/>
            <w:vAlign w:val="center"/>
          </w:tcPr>
          <w:p w14:paraId="35EB6424">
            <w:pPr>
              <w:rPr>
                <w:rFonts w:hint="eastAsia" w:ascii="仿宋" w:hAnsi="仿宋" w:eastAsia="仿宋" w:cs="仿宋"/>
                <w:sz w:val="32"/>
                <w:szCs w:val="32"/>
                <w:lang w:eastAsia="zh-CN"/>
              </w:rPr>
            </w:pPr>
          </w:p>
        </w:tc>
      </w:tr>
      <w:tr w14:paraId="73E0A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0AB9D13">
            <w:pPr>
              <w:rPr>
                <w:rFonts w:hint="eastAsia" w:ascii="仿宋" w:hAnsi="仿宋" w:eastAsia="仿宋" w:cs="仿宋"/>
                <w:sz w:val="32"/>
                <w:szCs w:val="32"/>
                <w:lang w:eastAsia="zh-CN"/>
              </w:rPr>
            </w:pPr>
          </w:p>
        </w:tc>
        <w:tc>
          <w:tcPr>
            <w:shd w:val="clear" w:color="auto" w:fill="auto"/>
            <w:vAlign w:val="center"/>
          </w:tcPr>
          <w:p w14:paraId="0AC5D8D8">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077AA030">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（1）造成较大范围的环境破坏；</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（2）影响后果可导致急性疾病或重大伤残，居民需要撤离；</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（3）政府要求整顿。</w:t>
            </w:r>
          </w:p>
        </w:tc>
        <w:tc>
          <w:tcPr>
            <w:vMerge w:val="continue"/>
            <w:shd w:val="clear" w:color="auto" w:fill="auto"/>
            <w:vAlign w:val="center"/>
          </w:tcPr>
          <w:p w14:paraId="55E98B99">
            <w:pPr>
              <w:rPr>
                <w:rFonts w:hint="eastAsia" w:ascii="仿宋" w:hAnsi="仿宋" w:eastAsia="仿宋" w:cs="仿宋"/>
                <w:sz w:val="32"/>
                <w:szCs w:val="32"/>
                <w:lang w:eastAsia="zh-CN"/>
              </w:rPr>
            </w:pPr>
          </w:p>
        </w:tc>
      </w:tr>
      <w:tr w14:paraId="6929D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996499D">
            <w:pPr>
              <w:rPr>
                <w:rFonts w:hint="eastAsia" w:ascii="仿宋" w:hAnsi="仿宋" w:eastAsia="仿宋" w:cs="仿宋"/>
                <w:sz w:val="32"/>
                <w:szCs w:val="32"/>
                <w:lang w:eastAsia="zh-CN"/>
              </w:rPr>
            </w:pPr>
          </w:p>
        </w:tc>
        <w:tc>
          <w:tcPr>
            <w:shd w:val="clear" w:color="auto" w:fill="auto"/>
            <w:vAlign w:val="center"/>
          </w:tcPr>
          <w:p w14:paraId="2779EB6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77834C96">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（1）造成1～2例无法复原的严重职业病；</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（2）造成3～9例以上很难治愈的职业病。</w:t>
            </w:r>
          </w:p>
        </w:tc>
        <w:tc>
          <w:tcPr>
            <w:vMerge w:val="continue"/>
            <w:shd w:val="clear" w:color="auto" w:fill="auto"/>
            <w:vAlign w:val="center"/>
          </w:tcPr>
          <w:p w14:paraId="7EB651AC">
            <w:pPr>
              <w:rPr>
                <w:rFonts w:hint="eastAsia" w:ascii="仿宋" w:hAnsi="仿宋" w:eastAsia="仿宋" w:cs="仿宋"/>
                <w:sz w:val="32"/>
                <w:szCs w:val="32"/>
                <w:lang w:eastAsia="zh-CN"/>
              </w:rPr>
            </w:pPr>
          </w:p>
        </w:tc>
      </w:tr>
      <w:tr w14:paraId="24BC2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C7A20CD">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c>
          <w:tcPr>
            <w:shd w:val="clear" w:color="auto" w:fill="auto"/>
            <w:vAlign w:val="center"/>
          </w:tcPr>
          <w:p w14:paraId="08449B9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12D8DB37">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（1）造成重伤1～2人。</w:t>
            </w:r>
          </w:p>
        </w:tc>
        <w:tc>
          <w:tcPr>
            <w:vMerge w:val="restart"/>
            <w:shd w:val="clear" w:color="auto" w:fill="auto"/>
            <w:vAlign w:val="center"/>
          </w:tcPr>
          <w:p w14:paraId="4E6E7305">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25</w:t>
            </w:r>
          </w:p>
        </w:tc>
      </w:tr>
      <w:tr w14:paraId="43906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6BAC4FB">
            <w:pPr>
              <w:rPr>
                <w:rFonts w:hint="eastAsia" w:ascii="仿宋" w:hAnsi="仿宋" w:eastAsia="仿宋" w:cs="仿宋"/>
                <w:sz w:val="32"/>
                <w:szCs w:val="32"/>
                <w:lang w:eastAsia="zh-CN"/>
              </w:rPr>
            </w:pPr>
          </w:p>
        </w:tc>
        <w:tc>
          <w:tcPr>
            <w:shd w:val="clear" w:color="auto" w:fill="auto"/>
            <w:vAlign w:val="center"/>
          </w:tcPr>
          <w:p w14:paraId="4EABD4F1">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76A73F54">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（1）造成设备或财产损失在50万元到100万元之间。</w:t>
            </w:r>
          </w:p>
        </w:tc>
        <w:tc>
          <w:tcPr>
            <w:vMerge w:val="continue"/>
            <w:shd w:val="clear" w:color="auto" w:fill="auto"/>
            <w:vAlign w:val="center"/>
          </w:tcPr>
          <w:p w14:paraId="3466761D">
            <w:pPr>
              <w:rPr>
                <w:rFonts w:hint="eastAsia" w:ascii="仿宋" w:hAnsi="仿宋" w:eastAsia="仿宋" w:cs="仿宋"/>
                <w:sz w:val="32"/>
                <w:szCs w:val="32"/>
                <w:lang w:eastAsia="zh-CN"/>
              </w:rPr>
            </w:pPr>
          </w:p>
        </w:tc>
      </w:tr>
      <w:tr w14:paraId="19195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A7008FA">
            <w:pPr>
              <w:rPr>
                <w:rFonts w:hint="eastAsia" w:ascii="仿宋" w:hAnsi="仿宋" w:eastAsia="仿宋" w:cs="仿宋"/>
                <w:sz w:val="32"/>
                <w:szCs w:val="32"/>
                <w:lang w:eastAsia="zh-CN"/>
              </w:rPr>
            </w:pPr>
          </w:p>
        </w:tc>
        <w:tc>
          <w:tcPr>
            <w:shd w:val="clear" w:color="auto" w:fill="auto"/>
            <w:vAlign w:val="center"/>
          </w:tcPr>
          <w:p w14:paraId="2F7DD2E3">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0381C0A9">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（1）造成内部统计事故。</w:t>
            </w:r>
          </w:p>
        </w:tc>
        <w:tc>
          <w:tcPr>
            <w:vMerge w:val="continue"/>
            <w:shd w:val="clear" w:color="auto" w:fill="auto"/>
            <w:vAlign w:val="center"/>
          </w:tcPr>
          <w:p w14:paraId="6566574C">
            <w:pPr>
              <w:rPr>
                <w:rFonts w:hint="eastAsia" w:ascii="仿宋" w:hAnsi="仿宋" w:eastAsia="仿宋" w:cs="仿宋"/>
                <w:sz w:val="32"/>
                <w:szCs w:val="32"/>
                <w:lang w:eastAsia="zh-CN"/>
              </w:rPr>
            </w:pPr>
          </w:p>
        </w:tc>
      </w:tr>
      <w:tr w14:paraId="3CA61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CFD1F10">
            <w:pPr>
              <w:rPr>
                <w:rFonts w:hint="eastAsia" w:ascii="仿宋" w:hAnsi="仿宋" w:eastAsia="仿宋" w:cs="仿宋"/>
                <w:sz w:val="32"/>
                <w:szCs w:val="32"/>
                <w:lang w:eastAsia="zh-CN"/>
              </w:rPr>
            </w:pPr>
          </w:p>
        </w:tc>
        <w:tc>
          <w:tcPr>
            <w:shd w:val="clear" w:color="auto" w:fill="auto"/>
            <w:vAlign w:val="center"/>
          </w:tcPr>
          <w:p w14:paraId="15C10F2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6D31E0AF">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（1）影响到周边居民及生态环境，引起居民抗争。</w:t>
            </w:r>
          </w:p>
        </w:tc>
        <w:tc>
          <w:tcPr>
            <w:vMerge w:val="continue"/>
            <w:shd w:val="clear" w:color="auto" w:fill="auto"/>
            <w:vAlign w:val="center"/>
          </w:tcPr>
          <w:p w14:paraId="1F0234D8">
            <w:pPr>
              <w:rPr>
                <w:rFonts w:hint="eastAsia" w:ascii="仿宋" w:hAnsi="仿宋" w:eastAsia="仿宋" w:cs="仿宋"/>
                <w:sz w:val="32"/>
                <w:szCs w:val="32"/>
                <w:lang w:eastAsia="zh-CN"/>
              </w:rPr>
            </w:pPr>
          </w:p>
        </w:tc>
      </w:tr>
      <w:tr w14:paraId="25672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212BDA9">
            <w:pPr>
              <w:rPr>
                <w:rFonts w:hint="eastAsia" w:ascii="仿宋" w:hAnsi="仿宋" w:eastAsia="仿宋" w:cs="仿宋"/>
                <w:sz w:val="32"/>
                <w:szCs w:val="32"/>
                <w:lang w:eastAsia="zh-CN"/>
              </w:rPr>
            </w:pPr>
          </w:p>
        </w:tc>
        <w:tc>
          <w:tcPr>
            <w:shd w:val="clear" w:color="auto" w:fill="auto"/>
            <w:vAlign w:val="center"/>
          </w:tcPr>
          <w:p w14:paraId="33A23FF1">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34C1AF2D">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（1）造成1～2例难治愈或造成3～9例可治愈的职业病；</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（2）造成9例以上与职业有关的疾病。</w:t>
            </w:r>
          </w:p>
        </w:tc>
        <w:tc>
          <w:tcPr>
            <w:vMerge w:val="continue"/>
            <w:shd w:val="clear" w:color="auto" w:fill="auto"/>
            <w:vAlign w:val="center"/>
          </w:tcPr>
          <w:p w14:paraId="1308C40A">
            <w:pPr>
              <w:rPr>
                <w:rFonts w:hint="eastAsia" w:ascii="仿宋" w:hAnsi="仿宋" w:eastAsia="仿宋" w:cs="仿宋"/>
                <w:sz w:val="32"/>
                <w:szCs w:val="32"/>
                <w:lang w:eastAsia="zh-CN"/>
              </w:rPr>
            </w:pPr>
          </w:p>
        </w:tc>
      </w:tr>
      <w:tr w14:paraId="34168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78B55903">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4</w:t>
            </w:r>
          </w:p>
        </w:tc>
        <w:tc>
          <w:tcPr>
            <w:shd w:val="clear" w:color="auto" w:fill="auto"/>
            <w:vAlign w:val="center"/>
          </w:tcPr>
          <w:p w14:paraId="5301ADF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6CFE8486">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（1）造成轻伤3人以上。</w:t>
            </w:r>
          </w:p>
        </w:tc>
        <w:tc>
          <w:tcPr>
            <w:vMerge w:val="restart"/>
            <w:shd w:val="clear" w:color="auto" w:fill="auto"/>
            <w:vAlign w:val="center"/>
          </w:tcPr>
          <w:p w14:paraId="5073E175">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15</w:t>
            </w:r>
          </w:p>
        </w:tc>
      </w:tr>
      <w:tr w14:paraId="34CE8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F582462">
            <w:pPr>
              <w:rPr>
                <w:rFonts w:hint="eastAsia" w:ascii="仿宋" w:hAnsi="仿宋" w:eastAsia="仿宋" w:cs="仿宋"/>
                <w:sz w:val="32"/>
                <w:szCs w:val="32"/>
                <w:lang w:eastAsia="zh-CN"/>
              </w:rPr>
            </w:pPr>
          </w:p>
        </w:tc>
        <w:tc>
          <w:tcPr>
            <w:shd w:val="clear" w:color="auto" w:fill="auto"/>
            <w:vAlign w:val="center"/>
          </w:tcPr>
          <w:p w14:paraId="61A94000">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28C72B40">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（1）造成设备或财产损失在10万元到50万元之间。</w:t>
            </w:r>
          </w:p>
        </w:tc>
        <w:tc>
          <w:tcPr>
            <w:vMerge w:val="continue"/>
            <w:shd w:val="clear" w:color="auto" w:fill="auto"/>
            <w:vAlign w:val="center"/>
          </w:tcPr>
          <w:p w14:paraId="4DE7E240">
            <w:pPr>
              <w:rPr>
                <w:rFonts w:hint="eastAsia" w:ascii="仿宋" w:hAnsi="仿宋" w:eastAsia="仿宋" w:cs="仿宋"/>
                <w:sz w:val="32"/>
                <w:szCs w:val="32"/>
                <w:lang w:eastAsia="zh-CN"/>
              </w:rPr>
            </w:pPr>
          </w:p>
        </w:tc>
      </w:tr>
      <w:tr w14:paraId="04551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8A733F">
            <w:pPr>
              <w:rPr>
                <w:rFonts w:hint="eastAsia" w:ascii="仿宋" w:hAnsi="仿宋" w:eastAsia="仿宋" w:cs="仿宋"/>
                <w:sz w:val="32"/>
                <w:szCs w:val="32"/>
                <w:lang w:eastAsia="zh-CN"/>
              </w:rPr>
            </w:pPr>
          </w:p>
        </w:tc>
        <w:tc>
          <w:tcPr>
            <w:shd w:val="clear" w:color="auto" w:fill="auto"/>
            <w:vAlign w:val="center"/>
          </w:tcPr>
          <w:p w14:paraId="764C1BB7">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65548EB4">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（1）造成设备一类障碍。</w:t>
            </w:r>
          </w:p>
        </w:tc>
        <w:tc>
          <w:tcPr>
            <w:vMerge w:val="continue"/>
            <w:shd w:val="clear" w:color="auto" w:fill="auto"/>
            <w:vAlign w:val="center"/>
          </w:tcPr>
          <w:p w14:paraId="35469A05">
            <w:pPr>
              <w:rPr>
                <w:rFonts w:hint="eastAsia" w:ascii="仿宋" w:hAnsi="仿宋" w:eastAsia="仿宋" w:cs="仿宋"/>
                <w:sz w:val="32"/>
                <w:szCs w:val="32"/>
                <w:lang w:eastAsia="zh-CN"/>
              </w:rPr>
            </w:pPr>
          </w:p>
        </w:tc>
      </w:tr>
      <w:tr w14:paraId="68944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F0DDE1C">
            <w:pPr>
              <w:rPr>
                <w:rFonts w:hint="eastAsia" w:ascii="仿宋" w:hAnsi="仿宋" w:eastAsia="仿宋" w:cs="仿宋"/>
                <w:sz w:val="32"/>
                <w:szCs w:val="32"/>
                <w:lang w:eastAsia="zh-CN"/>
              </w:rPr>
            </w:pPr>
          </w:p>
        </w:tc>
        <w:tc>
          <w:tcPr>
            <w:shd w:val="clear" w:color="auto" w:fill="auto"/>
            <w:vAlign w:val="center"/>
          </w:tcPr>
          <w:p w14:paraId="5581110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46062CA3">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（1）对周边居民及环境有些影响，引起居民抱怨、投诉。</w:t>
            </w:r>
          </w:p>
        </w:tc>
        <w:tc>
          <w:tcPr>
            <w:vMerge w:val="continue"/>
            <w:shd w:val="clear" w:color="auto" w:fill="auto"/>
            <w:vAlign w:val="center"/>
          </w:tcPr>
          <w:p w14:paraId="4CE530B2">
            <w:pPr>
              <w:rPr>
                <w:rFonts w:hint="eastAsia" w:ascii="仿宋" w:hAnsi="仿宋" w:eastAsia="仿宋" w:cs="仿宋"/>
                <w:sz w:val="32"/>
                <w:szCs w:val="32"/>
                <w:lang w:eastAsia="zh-CN"/>
              </w:rPr>
            </w:pPr>
          </w:p>
        </w:tc>
      </w:tr>
      <w:tr w14:paraId="0F160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CE725C6">
            <w:pPr>
              <w:rPr>
                <w:rFonts w:hint="eastAsia" w:ascii="仿宋" w:hAnsi="仿宋" w:eastAsia="仿宋" w:cs="仿宋"/>
                <w:sz w:val="32"/>
                <w:szCs w:val="32"/>
                <w:lang w:eastAsia="zh-CN"/>
              </w:rPr>
            </w:pPr>
          </w:p>
        </w:tc>
        <w:tc>
          <w:tcPr>
            <w:shd w:val="clear" w:color="auto" w:fill="auto"/>
            <w:vAlign w:val="center"/>
          </w:tcPr>
          <w:p w14:paraId="5CD8723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52B496A9">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（1）造成1～2例可治愈的职业病；</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（2）造成3～9例与职业有关的疾病。</w:t>
            </w:r>
          </w:p>
        </w:tc>
        <w:tc>
          <w:tcPr>
            <w:vMerge w:val="continue"/>
            <w:shd w:val="clear" w:color="auto" w:fill="auto"/>
            <w:vAlign w:val="center"/>
          </w:tcPr>
          <w:p w14:paraId="0B1DEFAC">
            <w:pPr>
              <w:rPr>
                <w:rFonts w:hint="eastAsia" w:ascii="仿宋" w:hAnsi="仿宋" w:eastAsia="仿宋" w:cs="仿宋"/>
                <w:sz w:val="32"/>
                <w:szCs w:val="32"/>
                <w:lang w:eastAsia="zh-CN"/>
              </w:rPr>
            </w:pPr>
          </w:p>
        </w:tc>
      </w:tr>
      <w:tr w14:paraId="1BB54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437B09A6">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w:t>
            </w:r>
          </w:p>
        </w:tc>
        <w:tc>
          <w:tcPr>
            <w:shd w:val="clear" w:color="auto" w:fill="auto"/>
            <w:vAlign w:val="center"/>
          </w:tcPr>
          <w:p w14:paraId="48559A3F">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52C8465B">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（1）造成轻伤1～2人。</w:t>
            </w:r>
          </w:p>
        </w:tc>
        <w:tc>
          <w:tcPr>
            <w:vMerge w:val="restart"/>
            <w:shd w:val="clear" w:color="auto" w:fill="auto"/>
            <w:vAlign w:val="center"/>
          </w:tcPr>
          <w:p w14:paraId="266BCBA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5</w:t>
            </w:r>
          </w:p>
        </w:tc>
      </w:tr>
      <w:tr w14:paraId="6CB6F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BAFD91C">
            <w:pPr>
              <w:rPr>
                <w:rFonts w:hint="eastAsia" w:ascii="仿宋" w:hAnsi="仿宋" w:eastAsia="仿宋" w:cs="仿宋"/>
                <w:sz w:val="32"/>
                <w:szCs w:val="32"/>
                <w:lang w:eastAsia="zh-CN"/>
              </w:rPr>
            </w:pPr>
          </w:p>
        </w:tc>
        <w:tc>
          <w:tcPr>
            <w:shd w:val="clear" w:color="auto" w:fill="auto"/>
            <w:vAlign w:val="center"/>
          </w:tcPr>
          <w:p w14:paraId="643C1BE2">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45445028">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（1）造成设备或财产损失在2万元到10万元之间。</w:t>
            </w:r>
          </w:p>
        </w:tc>
        <w:tc>
          <w:tcPr>
            <w:vMerge w:val="continue"/>
            <w:shd w:val="clear" w:color="auto" w:fill="auto"/>
            <w:vAlign w:val="center"/>
          </w:tcPr>
          <w:p w14:paraId="57F15833">
            <w:pPr>
              <w:rPr>
                <w:rFonts w:hint="eastAsia" w:ascii="仿宋" w:hAnsi="仿宋" w:eastAsia="仿宋" w:cs="仿宋"/>
                <w:sz w:val="32"/>
                <w:szCs w:val="32"/>
                <w:lang w:eastAsia="zh-CN"/>
              </w:rPr>
            </w:pPr>
          </w:p>
        </w:tc>
      </w:tr>
      <w:tr w14:paraId="46E47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64CA99F">
            <w:pPr>
              <w:rPr>
                <w:rFonts w:hint="eastAsia" w:ascii="仿宋" w:hAnsi="仿宋" w:eastAsia="仿宋" w:cs="仿宋"/>
                <w:sz w:val="32"/>
                <w:szCs w:val="32"/>
                <w:lang w:eastAsia="zh-CN"/>
              </w:rPr>
            </w:pPr>
          </w:p>
        </w:tc>
        <w:tc>
          <w:tcPr>
            <w:shd w:val="clear" w:color="auto" w:fill="auto"/>
            <w:vAlign w:val="center"/>
          </w:tcPr>
          <w:p w14:paraId="5652E94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36F8BE89">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（1）造成设备二类障碍。</w:t>
            </w:r>
          </w:p>
        </w:tc>
        <w:tc>
          <w:tcPr>
            <w:vMerge w:val="continue"/>
            <w:shd w:val="clear" w:color="auto" w:fill="auto"/>
            <w:vAlign w:val="center"/>
          </w:tcPr>
          <w:p w14:paraId="2DCC093D">
            <w:pPr>
              <w:rPr>
                <w:rFonts w:hint="eastAsia" w:ascii="仿宋" w:hAnsi="仿宋" w:eastAsia="仿宋" w:cs="仿宋"/>
                <w:sz w:val="32"/>
                <w:szCs w:val="32"/>
                <w:lang w:eastAsia="zh-CN"/>
              </w:rPr>
            </w:pPr>
          </w:p>
        </w:tc>
      </w:tr>
      <w:tr w14:paraId="6A927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06F4CA3">
            <w:pPr>
              <w:rPr>
                <w:rFonts w:hint="eastAsia" w:ascii="仿宋" w:hAnsi="仿宋" w:eastAsia="仿宋" w:cs="仿宋"/>
                <w:sz w:val="32"/>
                <w:szCs w:val="32"/>
                <w:lang w:eastAsia="zh-CN"/>
              </w:rPr>
            </w:pPr>
          </w:p>
        </w:tc>
        <w:tc>
          <w:tcPr>
            <w:shd w:val="clear" w:color="auto" w:fill="auto"/>
            <w:vAlign w:val="center"/>
          </w:tcPr>
          <w:p w14:paraId="7E2B20EE">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20A9ED8B">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（1）轻度影响到周边居民及小范围（现场）生态环境。</w:t>
            </w:r>
          </w:p>
        </w:tc>
        <w:tc>
          <w:tcPr>
            <w:vMerge w:val="continue"/>
            <w:shd w:val="clear" w:color="auto" w:fill="auto"/>
            <w:vAlign w:val="center"/>
          </w:tcPr>
          <w:p w14:paraId="644A9885">
            <w:pPr>
              <w:rPr>
                <w:rFonts w:hint="eastAsia" w:ascii="仿宋" w:hAnsi="仿宋" w:eastAsia="仿宋" w:cs="仿宋"/>
                <w:sz w:val="32"/>
                <w:szCs w:val="32"/>
                <w:lang w:eastAsia="zh-CN"/>
              </w:rPr>
            </w:pPr>
          </w:p>
        </w:tc>
      </w:tr>
      <w:tr w14:paraId="08B97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484CFC7">
            <w:pPr>
              <w:rPr>
                <w:rFonts w:hint="eastAsia" w:ascii="仿宋" w:hAnsi="仿宋" w:eastAsia="仿宋" w:cs="仿宋"/>
                <w:sz w:val="32"/>
                <w:szCs w:val="32"/>
                <w:lang w:eastAsia="zh-CN"/>
              </w:rPr>
            </w:pPr>
          </w:p>
        </w:tc>
        <w:tc>
          <w:tcPr>
            <w:shd w:val="clear" w:color="auto" w:fill="auto"/>
            <w:vAlign w:val="center"/>
          </w:tcPr>
          <w:p w14:paraId="257875F0">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3859F152">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（1）造成1～2例与职业有关的疾病；</w:t>
            </w:r>
            <w:r>
              <w:rPr>
                <w:rFonts w:hint="eastAsia" w:ascii="仿宋" w:hAnsi="仿宋" w:eastAsia="仿宋" w:cs="仿宋"/>
                <w:snapToGrid w:val="0"/>
                <w:color w:val="000000"/>
                <w:sz w:val="32"/>
                <w:szCs w:val="32"/>
                <w:lang w:val="en-US" w:eastAsia="en-US" w:bidi="ar-SA"/>
              </w:rPr>
              <w:br w:type="textWrapping"/>
            </w:r>
            <w:r>
              <w:rPr>
                <w:rFonts w:hint="eastAsia" w:ascii="仿宋" w:hAnsi="仿宋" w:eastAsia="仿宋" w:cs="仿宋"/>
                <w:snapToGrid w:val="0"/>
                <w:color w:val="000000"/>
                <w:sz w:val="32"/>
                <w:szCs w:val="32"/>
                <w:lang w:val="en-US" w:eastAsia="en-US" w:bidi="ar-SA"/>
              </w:rPr>
              <w:t>（2）造成3～9例有影响健康的事件。</w:t>
            </w:r>
          </w:p>
        </w:tc>
        <w:tc>
          <w:tcPr>
            <w:vMerge w:val="continue"/>
            <w:shd w:val="clear" w:color="auto" w:fill="auto"/>
            <w:vAlign w:val="center"/>
          </w:tcPr>
          <w:p w14:paraId="2BA94460">
            <w:pPr>
              <w:rPr>
                <w:rFonts w:hint="eastAsia" w:ascii="仿宋" w:hAnsi="仿宋" w:eastAsia="仿宋" w:cs="仿宋"/>
                <w:sz w:val="32"/>
                <w:szCs w:val="32"/>
                <w:lang w:eastAsia="zh-CN"/>
              </w:rPr>
            </w:pPr>
          </w:p>
        </w:tc>
      </w:tr>
      <w:tr w14:paraId="59A6A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21A665F">
            <w:pPr>
              <w:kinsoku w:val="0"/>
              <w:autoSpaceDE w:val="0"/>
              <w:autoSpaceDN w:val="0"/>
              <w:adjustRightInd w:val="0"/>
              <w:snapToGrid w:val="0"/>
              <w:spacing w:before="60" w:after="60"/>
              <w:ind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6</w:t>
            </w:r>
          </w:p>
        </w:tc>
        <w:tc>
          <w:tcPr>
            <w:shd w:val="clear" w:color="auto" w:fill="auto"/>
            <w:vAlign w:val="center"/>
          </w:tcPr>
          <w:p w14:paraId="06A0DDD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人员伤亡</w:t>
            </w:r>
          </w:p>
        </w:tc>
        <w:tc>
          <w:tcPr>
            <w:shd w:val="clear" w:color="auto" w:fill="auto"/>
            <w:vAlign w:val="center"/>
          </w:tcPr>
          <w:p w14:paraId="1435F75D">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（1）可能造成人员轻微的伤害（小的割伤、擦伤、撞伤）。</w:t>
            </w:r>
          </w:p>
        </w:tc>
        <w:tc>
          <w:tcPr>
            <w:vMerge w:val="restart"/>
            <w:shd w:val="clear" w:color="auto" w:fill="auto"/>
            <w:vAlign w:val="center"/>
          </w:tcPr>
          <w:p w14:paraId="1B4C93C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r>
      <w:tr w14:paraId="3270B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1A102C">
            <w:pPr>
              <w:rPr>
                <w:rFonts w:hint="eastAsia" w:ascii="仿宋" w:hAnsi="仿宋" w:eastAsia="仿宋" w:cs="仿宋"/>
                <w:sz w:val="32"/>
                <w:szCs w:val="32"/>
                <w:lang w:eastAsia="zh-CN"/>
              </w:rPr>
            </w:pPr>
          </w:p>
        </w:tc>
        <w:tc>
          <w:tcPr>
            <w:shd w:val="clear" w:color="auto" w:fill="auto"/>
            <w:vAlign w:val="center"/>
          </w:tcPr>
          <w:p w14:paraId="07B96E8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设备损坏</w:t>
            </w:r>
          </w:p>
        </w:tc>
        <w:tc>
          <w:tcPr>
            <w:shd w:val="clear" w:color="auto" w:fill="auto"/>
            <w:vAlign w:val="center"/>
          </w:tcPr>
          <w:p w14:paraId="49DAC0FE">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（1）可能造成设备或财产损失在2万元以下。</w:t>
            </w:r>
          </w:p>
        </w:tc>
        <w:tc>
          <w:tcPr>
            <w:vMerge w:val="continue"/>
            <w:shd w:val="clear" w:color="auto" w:fill="auto"/>
            <w:vAlign w:val="center"/>
          </w:tcPr>
          <w:p w14:paraId="77C40A4F">
            <w:pPr>
              <w:rPr>
                <w:rFonts w:hint="eastAsia" w:ascii="仿宋" w:hAnsi="仿宋" w:eastAsia="仿宋" w:cs="仿宋"/>
                <w:sz w:val="32"/>
                <w:szCs w:val="32"/>
                <w:lang w:eastAsia="zh-CN"/>
              </w:rPr>
            </w:pPr>
          </w:p>
        </w:tc>
      </w:tr>
      <w:tr w14:paraId="2C08E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89D0F6E">
            <w:pPr>
              <w:rPr>
                <w:rFonts w:hint="eastAsia" w:ascii="仿宋" w:hAnsi="仿宋" w:eastAsia="仿宋" w:cs="仿宋"/>
                <w:sz w:val="32"/>
                <w:szCs w:val="32"/>
                <w:lang w:eastAsia="zh-CN"/>
              </w:rPr>
            </w:pPr>
          </w:p>
        </w:tc>
        <w:tc>
          <w:tcPr>
            <w:shd w:val="clear" w:color="auto" w:fill="auto"/>
            <w:vAlign w:val="center"/>
          </w:tcPr>
          <w:p w14:paraId="57362A1F">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生产中断</w:t>
            </w:r>
          </w:p>
        </w:tc>
        <w:tc>
          <w:tcPr>
            <w:shd w:val="clear" w:color="auto" w:fill="auto"/>
            <w:vAlign w:val="center"/>
          </w:tcPr>
          <w:p w14:paraId="04E18B12">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（1）造成设备异常。</w:t>
            </w:r>
          </w:p>
        </w:tc>
        <w:tc>
          <w:tcPr>
            <w:vMerge w:val="continue"/>
            <w:shd w:val="clear" w:color="auto" w:fill="auto"/>
            <w:vAlign w:val="center"/>
          </w:tcPr>
          <w:p w14:paraId="5A649561">
            <w:pPr>
              <w:rPr>
                <w:rFonts w:hint="eastAsia" w:ascii="仿宋" w:hAnsi="仿宋" w:eastAsia="仿宋" w:cs="仿宋"/>
                <w:sz w:val="32"/>
                <w:szCs w:val="32"/>
                <w:lang w:eastAsia="zh-CN"/>
              </w:rPr>
            </w:pPr>
          </w:p>
        </w:tc>
      </w:tr>
      <w:tr w14:paraId="5B8CA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6D409D7">
            <w:pPr>
              <w:rPr>
                <w:rFonts w:hint="eastAsia" w:ascii="仿宋" w:hAnsi="仿宋" w:eastAsia="仿宋" w:cs="仿宋"/>
                <w:sz w:val="32"/>
                <w:szCs w:val="32"/>
                <w:lang w:eastAsia="zh-CN"/>
              </w:rPr>
            </w:pPr>
          </w:p>
        </w:tc>
        <w:tc>
          <w:tcPr>
            <w:shd w:val="clear" w:color="auto" w:fill="auto"/>
            <w:vAlign w:val="center"/>
          </w:tcPr>
          <w:p w14:paraId="3D66BA2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环境污染</w:t>
            </w:r>
          </w:p>
        </w:tc>
        <w:tc>
          <w:tcPr>
            <w:shd w:val="clear" w:color="auto" w:fill="auto"/>
            <w:vAlign w:val="center"/>
          </w:tcPr>
          <w:p w14:paraId="23C60D87">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（1）对现场景观有轻度影响。</w:t>
            </w:r>
          </w:p>
        </w:tc>
        <w:tc>
          <w:tcPr>
            <w:vMerge w:val="continue"/>
            <w:shd w:val="clear" w:color="auto" w:fill="auto"/>
            <w:vAlign w:val="center"/>
          </w:tcPr>
          <w:p w14:paraId="23F11AFE">
            <w:pPr>
              <w:rPr>
                <w:rFonts w:hint="eastAsia" w:ascii="仿宋" w:hAnsi="仿宋" w:eastAsia="仿宋" w:cs="仿宋"/>
                <w:sz w:val="32"/>
                <w:szCs w:val="32"/>
                <w:lang w:eastAsia="zh-CN"/>
              </w:rPr>
            </w:pPr>
          </w:p>
        </w:tc>
      </w:tr>
      <w:tr w14:paraId="51139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1B32450">
            <w:pPr>
              <w:rPr>
                <w:rFonts w:hint="eastAsia" w:ascii="仿宋" w:hAnsi="仿宋" w:eastAsia="仿宋" w:cs="仿宋"/>
                <w:sz w:val="32"/>
                <w:szCs w:val="32"/>
                <w:lang w:eastAsia="zh-CN"/>
              </w:rPr>
            </w:pPr>
          </w:p>
        </w:tc>
        <w:tc>
          <w:tcPr>
            <w:shd w:val="clear" w:color="auto" w:fill="auto"/>
            <w:vAlign w:val="center"/>
          </w:tcPr>
          <w:p w14:paraId="6E7A0545">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职业健康损害</w:t>
            </w:r>
          </w:p>
        </w:tc>
        <w:tc>
          <w:tcPr>
            <w:shd w:val="clear" w:color="auto" w:fill="auto"/>
            <w:vAlign w:val="center"/>
          </w:tcPr>
          <w:p w14:paraId="0FD10810">
            <w:pPr>
              <w:kinsoku w:val="0"/>
              <w:autoSpaceDE w:val="0"/>
              <w:autoSpaceDN w:val="0"/>
              <w:adjustRightInd w:val="0"/>
              <w:snapToGrid w:val="0"/>
              <w:spacing w:before="60" w:after="60"/>
              <w:ind w:left="0" w:leftChars="0" w:firstLine="0" w:firstLineChars="0"/>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（1）可能造成1～2例有健康影响的事件。</w:t>
            </w:r>
          </w:p>
        </w:tc>
        <w:tc>
          <w:tcPr>
            <w:vMerge w:val="continue"/>
            <w:shd w:val="clear" w:color="auto" w:fill="auto"/>
            <w:vAlign w:val="center"/>
          </w:tcPr>
          <w:p w14:paraId="01A469A2">
            <w:pPr>
              <w:rPr>
                <w:rFonts w:hint="eastAsia" w:ascii="仿宋" w:hAnsi="仿宋" w:eastAsia="仿宋" w:cs="仿宋"/>
                <w:sz w:val="32"/>
                <w:szCs w:val="32"/>
                <w:lang w:eastAsia="zh-CN"/>
              </w:rPr>
            </w:pPr>
          </w:p>
        </w:tc>
      </w:tr>
    </w:tbl>
    <w:p w14:paraId="164073B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napToGrid w:val="0"/>
          <w:color w:val="000000"/>
          <w:sz w:val="32"/>
          <w:szCs w:val="32"/>
          <w:lang w:val="en-US" w:eastAsia="en-US" w:bidi="ar-SA"/>
        </w:rPr>
      </w:pPr>
    </w:p>
    <w:p w14:paraId="23C84EF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表4</w:t>
      </w:r>
      <w:r>
        <w:rPr>
          <w:rFonts w:hint="eastAsia" w:ascii="仿宋" w:hAnsi="仿宋" w:eastAsia="仿宋" w:cs="仿宋"/>
          <w:b/>
          <w:bCs/>
          <w:snapToGrid w:val="0"/>
          <w:color w:val="000000"/>
          <w:sz w:val="32"/>
          <w:szCs w:val="32"/>
          <w:lang w:val="en-US" w:eastAsia="zh-CN" w:bidi="ar-SA"/>
        </w:rPr>
        <w:t xml:space="preserve"> </w:t>
      </w:r>
      <w:r>
        <w:rPr>
          <w:rFonts w:hint="eastAsia" w:ascii="仿宋" w:hAnsi="仿宋" w:eastAsia="仿宋" w:cs="仿宋"/>
          <w:b/>
          <w:bCs/>
          <w:snapToGrid w:val="0"/>
          <w:color w:val="000000"/>
          <w:sz w:val="32"/>
          <w:szCs w:val="32"/>
          <w:lang w:val="en-US" w:eastAsia="en-US" w:bidi="ar-SA"/>
        </w:rPr>
        <w:t>风险等级（D=L×E×C）标准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003"/>
        <w:gridCol w:w="3582"/>
        <w:gridCol w:w="2711"/>
      </w:tblGrid>
      <w:tr w14:paraId="1232B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03" w:type="dxa"/>
            <w:shd w:val="clear" w:color="auto" w:fill="auto"/>
            <w:vAlign w:val="center"/>
          </w:tcPr>
          <w:p w14:paraId="53CCD6C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序号</w:t>
            </w:r>
          </w:p>
        </w:tc>
        <w:tc>
          <w:tcPr>
            <w:tcW w:w="3582" w:type="dxa"/>
            <w:shd w:val="clear" w:color="auto" w:fill="auto"/>
            <w:vAlign w:val="center"/>
          </w:tcPr>
          <w:p w14:paraId="1CE5CB3D">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风险等级</w:t>
            </w:r>
          </w:p>
        </w:tc>
        <w:tc>
          <w:tcPr>
            <w:tcW w:w="2711" w:type="dxa"/>
            <w:shd w:val="clear" w:color="auto" w:fill="auto"/>
            <w:vAlign w:val="center"/>
          </w:tcPr>
          <w:p w14:paraId="6A189559">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b/>
                <w:bCs/>
                <w:snapToGrid w:val="0"/>
                <w:color w:val="000000"/>
                <w:sz w:val="32"/>
                <w:szCs w:val="32"/>
                <w:lang w:val="en-US" w:eastAsia="en-US" w:bidi="ar-SA"/>
              </w:rPr>
              <w:t>判定条件</w:t>
            </w:r>
          </w:p>
        </w:tc>
      </w:tr>
      <w:tr w14:paraId="74D65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03" w:type="dxa"/>
            <w:shd w:val="clear" w:color="auto" w:fill="auto"/>
            <w:vAlign w:val="center"/>
          </w:tcPr>
          <w:p w14:paraId="0E90796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1</w:t>
            </w:r>
          </w:p>
        </w:tc>
        <w:tc>
          <w:tcPr>
            <w:tcW w:w="3582" w:type="dxa"/>
            <w:shd w:val="clear" w:color="auto" w:fill="auto"/>
            <w:vAlign w:val="center"/>
          </w:tcPr>
          <w:p w14:paraId="6405FA3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重大风险</w:t>
            </w:r>
          </w:p>
        </w:tc>
        <w:tc>
          <w:tcPr>
            <w:tcW w:w="2711" w:type="dxa"/>
            <w:shd w:val="clear" w:color="auto" w:fill="auto"/>
            <w:vAlign w:val="center"/>
          </w:tcPr>
          <w:p w14:paraId="5793B92A">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D≥400</w:t>
            </w:r>
          </w:p>
        </w:tc>
      </w:tr>
      <w:tr w14:paraId="45F8F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03" w:type="dxa"/>
            <w:shd w:val="clear" w:color="auto" w:fill="auto"/>
            <w:vAlign w:val="center"/>
          </w:tcPr>
          <w:p w14:paraId="092F912E">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w:t>
            </w:r>
          </w:p>
        </w:tc>
        <w:tc>
          <w:tcPr>
            <w:tcW w:w="3582" w:type="dxa"/>
            <w:shd w:val="clear" w:color="auto" w:fill="auto"/>
            <w:vAlign w:val="center"/>
          </w:tcPr>
          <w:p w14:paraId="1B2CD79E">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较大风险</w:t>
            </w:r>
          </w:p>
        </w:tc>
        <w:tc>
          <w:tcPr>
            <w:tcW w:w="2711" w:type="dxa"/>
            <w:shd w:val="clear" w:color="auto" w:fill="auto"/>
            <w:vAlign w:val="center"/>
          </w:tcPr>
          <w:p w14:paraId="4C286C8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200≤D＜400</w:t>
            </w:r>
          </w:p>
        </w:tc>
      </w:tr>
      <w:tr w14:paraId="35883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03" w:type="dxa"/>
            <w:shd w:val="clear" w:color="auto" w:fill="auto"/>
            <w:vAlign w:val="center"/>
          </w:tcPr>
          <w:p w14:paraId="4D59499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3</w:t>
            </w:r>
          </w:p>
        </w:tc>
        <w:tc>
          <w:tcPr>
            <w:tcW w:w="3582" w:type="dxa"/>
            <w:shd w:val="clear" w:color="auto" w:fill="auto"/>
            <w:vAlign w:val="center"/>
          </w:tcPr>
          <w:p w14:paraId="72F2E788">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一般风险</w:t>
            </w:r>
          </w:p>
        </w:tc>
        <w:tc>
          <w:tcPr>
            <w:tcW w:w="2711" w:type="dxa"/>
            <w:shd w:val="clear" w:color="auto" w:fill="auto"/>
            <w:vAlign w:val="center"/>
          </w:tcPr>
          <w:p w14:paraId="686EABF4">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70≤D＜200</w:t>
            </w:r>
          </w:p>
        </w:tc>
      </w:tr>
      <w:tr w14:paraId="2C1FD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003" w:type="dxa"/>
            <w:shd w:val="clear" w:color="auto" w:fill="auto"/>
            <w:vAlign w:val="center"/>
          </w:tcPr>
          <w:p w14:paraId="6EA2D33B">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4</w:t>
            </w:r>
          </w:p>
        </w:tc>
        <w:tc>
          <w:tcPr>
            <w:tcW w:w="3582" w:type="dxa"/>
            <w:shd w:val="clear" w:color="auto" w:fill="auto"/>
            <w:vAlign w:val="center"/>
          </w:tcPr>
          <w:p w14:paraId="21EF4A96">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低风险</w:t>
            </w:r>
          </w:p>
        </w:tc>
        <w:tc>
          <w:tcPr>
            <w:tcW w:w="2711" w:type="dxa"/>
            <w:shd w:val="clear" w:color="auto" w:fill="auto"/>
            <w:vAlign w:val="center"/>
          </w:tcPr>
          <w:p w14:paraId="31A7780C">
            <w:pPr>
              <w:kinsoku w:val="0"/>
              <w:autoSpaceDE w:val="0"/>
              <w:autoSpaceDN w:val="0"/>
              <w:adjustRightInd w:val="0"/>
              <w:snapToGrid w:val="0"/>
              <w:spacing w:before="60" w:after="60"/>
              <w:ind w:left="0" w:leftChars="0" w:firstLine="0" w:firstLineChars="0"/>
              <w:jc w:val="center"/>
              <w:textAlignment w:val="baseline"/>
              <w:rPr>
                <w:rFonts w:hint="eastAsia" w:ascii="仿宋" w:hAnsi="仿宋" w:eastAsia="仿宋" w:cs="仿宋"/>
                <w:snapToGrid w:val="0"/>
                <w:color w:val="000000"/>
                <w:sz w:val="32"/>
                <w:szCs w:val="32"/>
                <w:lang w:val="en-US" w:eastAsia="en-US" w:bidi="ar-SA"/>
              </w:rPr>
            </w:pPr>
            <w:r>
              <w:rPr>
                <w:rFonts w:hint="eastAsia" w:ascii="仿宋" w:hAnsi="仿宋" w:eastAsia="仿宋" w:cs="仿宋"/>
                <w:snapToGrid w:val="0"/>
                <w:color w:val="000000"/>
                <w:sz w:val="32"/>
                <w:szCs w:val="32"/>
                <w:lang w:val="en-US" w:eastAsia="en-US" w:bidi="ar-SA"/>
              </w:rPr>
              <w:t>D＜70</w:t>
            </w:r>
          </w:p>
        </w:tc>
      </w:tr>
    </w:tbl>
    <w:p w14:paraId="6B9299DE">
      <w:pPr>
        <w:pStyle w:val="4"/>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napToGrid/>
          <w:sz w:val="32"/>
          <w:szCs w:val="32"/>
          <w:lang w:val="zh-CN" w:eastAsia="zh-CN" w:bidi="zh-CN"/>
        </w:rPr>
      </w:pPr>
    </w:p>
    <w:p w14:paraId="0D89BF2E">
      <w:pPr>
        <w:pStyle w:val="4"/>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lang w:eastAsia="zh-CN"/>
        </w:rPr>
      </w:pPr>
    </w:p>
    <w:sectPr>
      <w:footerReference r:id="rId5" w:type="default"/>
      <w:pgSz w:w="11906" w:h="16839"/>
      <w:pgMar w:top="1440" w:right="1803" w:bottom="1440" w:left="1803" w:header="0" w:footer="1119"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45F3D5-AD1F-472E-B907-2135B99812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AF8804B-B0BB-4609-B374-A535F3B2A123}"/>
  </w:font>
  <w:font w:name="方正小标宋简体">
    <w:panose1 w:val="02010600010101010101"/>
    <w:charset w:val="86"/>
    <w:family w:val="auto"/>
    <w:pitch w:val="default"/>
    <w:sig w:usb0="00000001" w:usb1="080E0000" w:usb2="00000000" w:usb3="00000000" w:csb0="00040000" w:csb1="00000000"/>
    <w:embedRegular r:id="rId3" w:fontKey="{7A8D7304-57E9-4EA9-AAC3-27D74A56996B}"/>
  </w:font>
  <w:font w:name="楷体_GB2312">
    <w:altName w:val="楷体"/>
    <w:panose1 w:val="02010609030101010101"/>
    <w:charset w:val="86"/>
    <w:family w:val="auto"/>
    <w:pitch w:val="default"/>
    <w:sig w:usb0="00000000" w:usb1="00000000" w:usb2="00000000" w:usb3="00000000" w:csb0="00040000" w:csb1="00000000"/>
    <w:embedRegular r:id="rId4" w:fontKey="{EA54F804-2DC7-4CB2-82F8-CC682EA84416}"/>
  </w:font>
  <w:font w:name="楷体">
    <w:panose1 w:val="02010609060101010101"/>
    <w:charset w:val="86"/>
    <w:family w:val="modern"/>
    <w:pitch w:val="default"/>
    <w:sig w:usb0="800002BF" w:usb1="38CF7CFA" w:usb2="00000016" w:usb3="00000000" w:csb0="00040001" w:csb1="00000000"/>
    <w:embedRegular r:id="rId5" w:fontKey="{05F67BBE-1B16-4BDB-B36E-ED86E8C5069B}"/>
  </w:font>
  <w:font w:name="仿宋_GB2312">
    <w:panose1 w:val="02010609030101010101"/>
    <w:charset w:val="86"/>
    <w:family w:val="auto"/>
    <w:pitch w:val="default"/>
    <w:sig w:usb0="00000001" w:usb1="080E0000" w:usb2="00000000" w:usb3="00000000" w:csb0="00040000" w:csb1="00000000"/>
    <w:embedRegular r:id="rId6" w:fontKey="{14B3F92E-6BB0-4F3C-BB56-34A66E832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4DB0">
    <w:pPr>
      <w:spacing w:line="226" w:lineRule="exact"/>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52D0">
    <w:pPr>
      <w:spacing w:line="226" w:lineRule="exact"/>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781F">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3281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93281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4934A8"/>
    <w:rsid w:val="00080F3D"/>
    <w:rsid w:val="00102DDC"/>
    <w:rsid w:val="00153C79"/>
    <w:rsid w:val="00214BD6"/>
    <w:rsid w:val="00267350"/>
    <w:rsid w:val="003245B0"/>
    <w:rsid w:val="004934A8"/>
    <w:rsid w:val="00550230"/>
    <w:rsid w:val="008465B7"/>
    <w:rsid w:val="008A13E2"/>
    <w:rsid w:val="00933DE0"/>
    <w:rsid w:val="009E2DD5"/>
    <w:rsid w:val="00A909A6"/>
    <w:rsid w:val="00D44CDE"/>
    <w:rsid w:val="00E211D5"/>
    <w:rsid w:val="00F72886"/>
    <w:rsid w:val="01777716"/>
    <w:rsid w:val="01DB319C"/>
    <w:rsid w:val="0205655E"/>
    <w:rsid w:val="029702A0"/>
    <w:rsid w:val="03692931"/>
    <w:rsid w:val="044665CD"/>
    <w:rsid w:val="04A15406"/>
    <w:rsid w:val="04B455D4"/>
    <w:rsid w:val="06474830"/>
    <w:rsid w:val="07555E0F"/>
    <w:rsid w:val="07942A69"/>
    <w:rsid w:val="082E31F3"/>
    <w:rsid w:val="0A80786B"/>
    <w:rsid w:val="0AE778EA"/>
    <w:rsid w:val="0B8E30C6"/>
    <w:rsid w:val="0C84449F"/>
    <w:rsid w:val="0DD332EF"/>
    <w:rsid w:val="0EEA79A9"/>
    <w:rsid w:val="0F4D29C7"/>
    <w:rsid w:val="102B6457"/>
    <w:rsid w:val="11331BA2"/>
    <w:rsid w:val="11E46AD9"/>
    <w:rsid w:val="14D23544"/>
    <w:rsid w:val="151B4D60"/>
    <w:rsid w:val="16663DB9"/>
    <w:rsid w:val="16F818C7"/>
    <w:rsid w:val="17263548"/>
    <w:rsid w:val="17475A7B"/>
    <w:rsid w:val="1763348E"/>
    <w:rsid w:val="17885FB1"/>
    <w:rsid w:val="186E164B"/>
    <w:rsid w:val="19BB58CE"/>
    <w:rsid w:val="19F53DD2"/>
    <w:rsid w:val="1AD5775F"/>
    <w:rsid w:val="1BCC1A66"/>
    <w:rsid w:val="1C8C45E0"/>
    <w:rsid w:val="1D080CD5"/>
    <w:rsid w:val="1ED32208"/>
    <w:rsid w:val="1FA1263E"/>
    <w:rsid w:val="213A3A02"/>
    <w:rsid w:val="217D645B"/>
    <w:rsid w:val="21EF2788"/>
    <w:rsid w:val="21F40026"/>
    <w:rsid w:val="23987F26"/>
    <w:rsid w:val="25183E18"/>
    <w:rsid w:val="25C26B32"/>
    <w:rsid w:val="269C61B3"/>
    <w:rsid w:val="28596ADA"/>
    <w:rsid w:val="29F64ED9"/>
    <w:rsid w:val="2B405920"/>
    <w:rsid w:val="2B836D64"/>
    <w:rsid w:val="2C565FE3"/>
    <w:rsid w:val="2D2C18FC"/>
    <w:rsid w:val="2E7E410B"/>
    <w:rsid w:val="2EE30245"/>
    <w:rsid w:val="2F9631AD"/>
    <w:rsid w:val="302776AA"/>
    <w:rsid w:val="31BB651B"/>
    <w:rsid w:val="32627F44"/>
    <w:rsid w:val="329E2BFA"/>
    <w:rsid w:val="33010C9A"/>
    <w:rsid w:val="333E1EEE"/>
    <w:rsid w:val="34140EA1"/>
    <w:rsid w:val="355510EF"/>
    <w:rsid w:val="36985DB9"/>
    <w:rsid w:val="36A744B8"/>
    <w:rsid w:val="373F2B00"/>
    <w:rsid w:val="37521BDE"/>
    <w:rsid w:val="38FA3882"/>
    <w:rsid w:val="39572E78"/>
    <w:rsid w:val="3A2E26EF"/>
    <w:rsid w:val="3A577D39"/>
    <w:rsid w:val="3ACD3B57"/>
    <w:rsid w:val="3B0B47F4"/>
    <w:rsid w:val="3B1B6BEC"/>
    <w:rsid w:val="3B430B79"/>
    <w:rsid w:val="3B911423"/>
    <w:rsid w:val="3D444360"/>
    <w:rsid w:val="3FDE12C7"/>
    <w:rsid w:val="3FFD0A3B"/>
    <w:rsid w:val="430D7664"/>
    <w:rsid w:val="442F13DF"/>
    <w:rsid w:val="44B47BCF"/>
    <w:rsid w:val="452C6622"/>
    <w:rsid w:val="456E4711"/>
    <w:rsid w:val="46966806"/>
    <w:rsid w:val="46F32B98"/>
    <w:rsid w:val="470450EE"/>
    <w:rsid w:val="481B35E6"/>
    <w:rsid w:val="48472740"/>
    <w:rsid w:val="49B17172"/>
    <w:rsid w:val="4ABA46F4"/>
    <w:rsid w:val="4CD60F5E"/>
    <w:rsid w:val="4DB82445"/>
    <w:rsid w:val="4E65437B"/>
    <w:rsid w:val="4E654842"/>
    <w:rsid w:val="5000068E"/>
    <w:rsid w:val="5060129E"/>
    <w:rsid w:val="50B25872"/>
    <w:rsid w:val="52666914"/>
    <w:rsid w:val="52B77F0E"/>
    <w:rsid w:val="52C666C4"/>
    <w:rsid w:val="53354629"/>
    <w:rsid w:val="535A51E8"/>
    <w:rsid w:val="53996CBC"/>
    <w:rsid w:val="547326E0"/>
    <w:rsid w:val="54F14BBA"/>
    <w:rsid w:val="55173EF5"/>
    <w:rsid w:val="56DE2603"/>
    <w:rsid w:val="570D667C"/>
    <w:rsid w:val="58BB1E3B"/>
    <w:rsid w:val="59A860E0"/>
    <w:rsid w:val="5B2840BA"/>
    <w:rsid w:val="5BB478E2"/>
    <w:rsid w:val="5EA04573"/>
    <w:rsid w:val="5FDC0215"/>
    <w:rsid w:val="5FED7A24"/>
    <w:rsid w:val="60B14577"/>
    <w:rsid w:val="61534507"/>
    <w:rsid w:val="621E2D67"/>
    <w:rsid w:val="63497FB8"/>
    <w:rsid w:val="63D77671"/>
    <w:rsid w:val="65495263"/>
    <w:rsid w:val="65543628"/>
    <w:rsid w:val="657A4758"/>
    <w:rsid w:val="6591677E"/>
    <w:rsid w:val="65D4276C"/>
    <w:rsid w:val="65ED67A7"/>
    <w:rsid w:val="663C1A0D"/>
    <w:rsid w:val="66DB1226"/>
    <w:rsid w:val="675B77BC"/>
    <w:rsid w:val="681F6841"/>
    <w:rsid w:val="68A0435A"/>
    <w:rsid w:val="68B3127B"/>
    <w:rsid w:val="69285B64"/>
    <w:rsid w:val="693A4B4B"/>
    <w:rsid w:val="6A8C3707"/>
    <w:rsid w:val="6B0E066F"/>
    <w:rsid w:val="6B2018FE"/>
    <w:rsid w:val="6D7A6503"/>
    <w:rsid w:val="6E673931"/>
    <w:rsid w:val="6F434296"/>
    <w:rsid w:val="721E62BD"/>
    <w:rsid w:val="73A50023"/>
    <w:rsid w:val="742D6CF8"/>
    <w:rsid w:val="74F31E31"/>
    <w:rsid w:val="76007989"/>
    <w:rsid w:val="77002E07"/>
    <w:rsid w:val="777F3A89"/>
    <w:rsid w:val="78E06C5A"/>
    <w:rsid w:val="797A7C8F"/>
    <w:rsid w:val="7B7B1D2B"/>
    <w:rsid w:val="7C6D33CD"/>
    <w:rsid w:val="7C9001C1"/>
    <w:rsid w:val="7D9F4C2F"/>
    <w:rsid w:val="7DB163E5"/>
    <w:rsid w:val="7DC115B6"/>
    <w:rsid w:val="7E11220A"/>
    <w:rsid w:val="7FAB1751"/>
    <w:rsid w:val="7FAC245E"/>
    <w:rsid w:val="7FBE04BC"/>
    <w:rsid w:val="7FEB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paragraph" w:styleId="3">
    <w:name w:val="annotation text"/>
    <w:basedOn w:val="1"/>
    <w:qFormat/>
    <w:uiPriority w:val="0"/>
    <w:pPr>
      <w:jc w:val="left"/>
    </w:p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pPr>
      <w:jc w:val="center"/>
    </w:pPr>
  </w:style>
  <w:style w:type="paragraph" w:customStyle="1" w:styleId="13">
    <w:name w:val="Table Text"/>
    <w:basedOn w:val="1"/>
    <w:semiHidden/>
    <w:qFormat/>
    <w:uiPriority w:val="0"/>
    <w:rPr>
      <w:sz w:val="24"/>
      <w:szCs w:val="24"/>
    </w:rPr>
  </w:style>
  <w:style w:type="paragraph" w:customStyle="1" w:styleId="14">
    <w:name w:val="First Paragraph"/>
    <w:basedOn w:val="1"/>
    <w:next w:val="4"/>
    <w:qFormat/>
    <w:uiPriority w:val="0"/>
    <w:pPr>
      <w:spacing w:before="180"/>
      <w:ind w:firstLine="480" w:firstLineChars="200"/>
    </w:pPr>
    <w:rPr>
      <w:lang w:eastAsia="zh-CN"/>
    </w:rPr>
  </w:style>
  <w:style w:type="paragraph" w:customStyle="1" w:styleId="15">
    <w:name w:val="Compact"/>
    <w:basedOn w:val="4"/>
    <w:qFormat/>
    <w:uiPriority w:val="0"/>
    <w:pPr>
      <w:spacing w:before="60" w:after="60"/>
      <w:ind w:firstLine="0" w:firstLineChars="0"/>
    </w:pPr>
  </w:style>
  <w:style w:type="table" w:customStyle="1" w:styleId="16">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ca888a44-ce80-42b0-873c-f312a7410867</errorID>
      <errorWord>期</errorWord>
      <group>L1_Word</group>
      <groupName>字词问题</groupName>
      <ability>L2_Typo</ability>
      <abilityName>字词错误</abilityName>
      <candidateList>
        <item>期间</item>
      </candidateList>
      <explain>〈名〉某个时期里面：农忙～｜春节～｜抗战～。</explain>
      <paraID>2C872EC7</paraID>
      <start>19</start>
      <end>20</end>
      <status>unmodified</status>
      <modifiedWord/>
      <trackRevisions>false</trackRevisions>
    </reviewItem>
    <reviewItem>
      <errorID>e82cf264-e5aa-47fd-9f60-b8a0fe7ae9da</errorID>
      <errorWord>提高</errorWord>
      <group>L1_Word</group>
      <groupName>字词问题</groupName>
      <ability>L2_Typo</ability>
      <abilityName>字词错误</abilityName>
      <candidateList>
        <item>增强</item>
      </candidateList>
      <explain>“提高～意识”搭配不当，建议修改为“增强～意识”。</explain>
      <paraID>17BD380D</paraID>
      <start>43</start>
      <end>45</end>
      <status>unmodified</status>
      <modifiedWord/>
      <trackRevisions>false</trackRevisions>
    </reviewItem>
    <reviewItem>
      <errorID>ce61eab5-80aa-4fde-942d-7fa35ddfde5b</errorID>
      <errorWord>全区应急</errorWord>
      <group>L1_Knowledge</group>
      <groupName>知识性问题</groupName>
      <ability>L2_Term</ability>
      <abilityName>专业术语</abilityName>
      <candidateList>
        <item>场区应急</item>
      </candidateList>
      <explain/>
      <paraID>78F4E32D</paraID>
      <start>10</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7ddb2-6e2f-4760-9b19-7aeca72b286f}">
  <ds:schemaRefs/>
</ds:datastoreItem>
</file>

<file path=docProps/app.xml><?xml version="1.0" encoding="utf-8"?>
<Properties xmlns="http://schemas.openxmlformats.org/officeDocument/2006/extended-properties" xmlns:vt="http://schemas.openxmlformats.org/officeDocument/2006/docPropsVTypes">
  <Template>Normal</Template>
  <Pages>42</Pages>
  <Words>12947</Words>
  <Characters>13185</Characters>
  <Lines>424</Lines>
  <Paragraphs>399</Paragraphs>
  <TotalTime>6</TotalTime>
  <ScaleCrop>false</ScaleCrop>
  <LinksUpToDate>false</LinksUpToDate>
  <CharactersWithSpaces>13339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2023-07-17T14:20:00Z</dcterms:created>
  <dc:creator>28-3</dc:creator>
  <cp:lastModifiedBy>A</cp:lastModifiedBy>
  <cp:lastPrinted>2025-10-23T03:34:00Z</cp:lastPrinted>
  <dcterms:modified xsi:type="dcterms:W3CDTF">2026-02-02T07:12:19Z</dcterms:modified>
  <dc:title>全省应急管理工作会议各地交流材料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2025-09-16T16:14:41Z</vt:filetime>
  </property>
  <property fmtid="{D5CDD505-2E9C-101B-9397-08002B2CF9AE}" pid="4" name="KSOTemplateDocerSaveRecord">
    <vt:lpwstr>eyJoZGlkIjoiMGQ0ODlkZjk1YWVhMmM1YjE4NTliNDE5NmJiMTdmNGMiLCJ1c2VySWQiOiIyNTc2OTIxMzcifQ==</vt:lpwstr>
  </property>
  <property fmtid="{D5CDD505-2E9C-101B-9397-08002B2CF9AE}" pid="5" name="KSOProductBuildVer">
    <vt:lpwstr>2052-12.1.0.24657</vt:lpwstr>
  </property>
  <property fmtid="{D5CDD505-2E9C-101B-9397-08002B2CF9AE}" pid="6" name="ICV">
    <vt:lpwstr>F16E27679D3C44128782B294CD05FE8F_13</vt:lpwstr>
  </property>
</Properties>
</file>