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992E4">
      <w:pPr>
        <w:pStyle w:val="4"/>
        <w:spacing w:line="254" w:lineRule="auto"/>
      </w:pPr>
    </w:p>
    <w:p w14:paraId="4C050095">
      <w:pPr>
        <w:pStyle w:val="4"/>
        <w:spacing w:line="254" w:lineRule="auto"/>
      </w:pPr>
    </w:p>
    <w:p w14:paraId="76F4201A">
      <w:pPr>
        <w:pStyle w:val="4"/>
        <w:spacing w:line="254" w:lineRule="auto"/>
      </w:pPr>
    </w:p>
    <w:p w14:paraId="0E808CB2">
      <w:pPr>
        <w:pStyle w:val="4"/>
        <w:spacing w:line="254" w:lineRule="auto"/>
      </w:pPr>
    </w:p>
    <w:p w14:paraId="74A236E4">
      <w:pPr>
        <w:pStyle w:val="4"/>
        <w:spacing w:line="255" w:lineRule="auto"/>
      </w:pPr>
    </w:p>
    <w:p w14:paraId="0E20CBCE">
      <w:pPr>
        <w:pStyle w:val="4"/>
        <w:spacing w:line="255" w:lineRule="auto"/>
      </w:pPr>
    </w:p>
    <w:p w14:paraId="1B3764CC">
      <w:pPr>
        <w:pStyle w:val="4"/>
        <w:spacing w:line="255" w:lineRule="auto"/>
      </w:pPr>
    </w:p>
    <w:p w14:paraId="37229A1C">
      <w:pPr>
        <w:pStyle w:val="4"/>
        <w:spacing w:line="255" w:lineRule="auto"/>
      </w:pPr>
    </w:p>
    <w:p w14:paraId="457F0042">
      <w:pPr>
        <w:pStyle w:val="4"/>
        <w:spacing w:line="255" w:lineRule="auto"/>
      </w:pPr>
    </w:p>
    <w:p w14:paraId="3439C6E2">
      <w:pPr>
        <w:pStyle w:val="4"/>
        <w:spacing w:line="255" w:lineRule="auto"/>
      </w:pPr>
    </w:p>
    <w:p w14:paraId="278F9CF3">
      <w:pPr>
        <w:pStyle w:val="4"/>
        <w:spacing w:line="255" w:lineRule="auto"/>
      </w:pPr>
    </w:p>
    <w:p w14:paraId="4B84EFBE">
      <w:pPr>
        <w:pStyle w:val="4"/>
        <w:spacing w:line="255" w:lineRule="auto"/>
      </w:pPr>
    </w:p>
    <w:p w14:paraId="45EE2138">
      <w:pPr>
        <w:pStyle w:val="4"/>
        <w:spacing w:line="255" w:lineRule="auto"/>
      </w:pPr>
    </w:p>
    <w:p w14:paraId="5B7D28F9">
      <w:pPr>
        <w:pStyle w:val="4"/>
        <w:spacing w:line="255" w:lineRule="auto"/>
      </w:pPr>
    </w:p>
    <w:p w14:paraId="6B99CB2B">
      <w:pPr>
        <w:pStyle w:val="4"/>
        <w:spacing w:line="255" w:lineRule="auto"/>
      </w:pPr>
    </w:p>
    <w:p w14:paraId="06143459">
      <w:pPr>
        <w:pStyle w:val="4"/>
        <w:spacing w:line="255" w:lineRule="auto"/>
      </w:pPr>
    </w:p>
    <w:p w14:paraId="5028FA65">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pP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t>佳木斯市向阳区</w:t>
      </w:r>
    </w:p>
    <w:p w14:paraId="4F1ADA25">
      <w:pPr>
        <w:keepNext w:val="0"/>
        <w:keepLines w:val="0"/>
        <w:pageBreakBefore w:val="0"/>
        <w:widowControl/>
        <w:kinsoku w:val="0"/>
        <w:wordWrap/>
        <w:overflowPunct/>
        <w:topLinePunct w:val="0"/>
        <w:autoSpaceDE w:val="0"/>
        <w:autoSpaceDN w:val="0"/>
        <w:bidi w:val="0"/>
        <w:adjustRightInd w:val="0"/>
        <w:snapToGrid w:val="0"/>
        <w:spacing w:before="140" w:line="240" w:lineRule="auto"/>
        <w:jc w:val="center"/>
        <w:textAlignment w:val="baseline"/>
        <w:rPr>
          <w:rFonts w:hint="eastAsia" w:ascii="宋体" w:hAnsi="宋体" w:eastAsia="宋体" w:cs="宋体"/>
          <w:b w:val="0"/>
          <w:bCs w:val="0"/>
          <w:snapToGrid/>
          <w:kern w:val="2"/>
          <w:sz w:val="44"/>
          <w:szCs w:val="44"/>
          <w:lang w:eastAsia="zh-CN"/>
        </w:rPr>
      </w:pPr>
      <w:r>
        <w:rPr>
          <w:rFonts w:hint="eastAsia" w:ascii="方正小标宋简体" w:hAnsi="方正小标宋简体" w:eastAsia="方正小标宋简体" w:cs="方正小标宋简体"/>
          <w:b w:val="0"/>
          <w:bCs w:val="0"/>
          <w:snapToGrid w:val="0"/>
          <w:color w:val="000000"/>
          <w:spacing w:val="4"/>
          <w:kern w:val="0"/>
          <w:sz w:val="44"/>
          <w:szCs w:val="44"/>
          <w:lang w:val="en-US" w:eastAsia="zh-CN"/>
        </w:rPr>
        <w:t>突发</w:t>
      </w:r>
      <w:r>
        <w:rPr>
          <w:rFonts w:hint="eastAsia" w:ascii="方正小标宋简体" w:hAnsi="方正小标宋简体" w:eastAsia="方正小标宋简体" w:cs="方正小标宋简体"/>
          <w:b w:val="0"/>
          <w:bCs w:val="0"/>
          <w:snapToGrid w:val="0"/>
          <w:color w:val="000000"/>
          <w:spacing w:val="4"/>
          <w:kern w:val="0"/>
          <w:sz w:val="44"/>
          <w:szCs w:val="44"/>
          <w:lang w:val="zh-CN" w:eastAsia="zh-CN"/>
        </w:rPr>
        <w:t>公共卫生事件应急预案</w:t>
      </w:r>
    </w:p>
    <w:p w14:paraId="542F9508">
      <w:pPr>
        <w:widowControl w:val="0"/>
        <w:kinsoku/>
        <w:autoSpaceDE/>
        <w:autoSpaceDN/>
        <w:adjustRightInd/>
        <w:snapToGrid/>
        <w:jc w:val="center"/>
        <w:textAlignment w:val="auto"/>
        <w:rPr>
          <w:rFonts w:hint="eastAsia" w:ascii="宋体" w:hAnsi="宋体" w:eastAsia="宋体" w:cs="宋体"/>
          <w:lang w:eastAsia="zh-CN"/>
        </w:rPr>
        <w:sectPr>
          <w:pgSz w:w="11906" w:h="16839"/>
          <w:pgMar w:top="1431" w:right="1485" w:bottom="1355" w:left="1599" w:header="0" w:footer="1117" w:gutter="0"/>
          <w:pgNumType w:fmt="decimal" w:start="1"/>
          <w:cols w:space="720" w:num="1"/>
        </w:sectPr>
      </w:pPr>
    </w:p>
    <w:sdt>
      <w:sdtPr>
        <w:rPr>
          <w:rFonts w:hint="eastAsia" w:ascii="宋体" w:hAnsi="宋体" w:eastAsia="宋体" w:cs="宋体"/>
          <w:snapToGrid w:val="0"/>
          <w:color w:val="000000"/>
          <w:kern w:val="0"/>
          <w:sz w:val="32"/>
          <w:szCs w:val="32"/>
          <w:lang w:eastAsia="en-US"/>
        </w:rPr>
        <w:id w:val="147469740"/>
        <w15:color w:val="DBDBDB"/>
        <w:docPartObj>
          <w:docPartGallery w:val="Table of Contents"/>
          <w:docPartUnique/>
        </w:docPartObj>
      </w:sdtPr>
      <w:sdtEndPr>
        <w:rPr>
          <w:rFonts w:hint="eastAsia" w:ascii="宋体" w:hAnsi="宋体" w:eastAsia="宋体" w:cs="宋体"/>
          <w:bCs/>
          <w:snapToGrid w:val="0"/>
          <w:color w:val="000000"/>
          <w:spacing w:val="3"/>
          <w:kern w:val="0"/>
          <w:sz w:val="32"/>
          <w:szCs w:val="31"/>
          <w:lang w:eastAsia="en-US"/>
        </w:rPr>
      </w:sdtEndPr>
      <w:sdtContent>
        <w:p w14:paraId="40753AB5">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宋体" w:hAnsi="宋体" w:eastAsia="宋体" w:cs="宋体"/>
              <w:snapToGrid w:val="0"/>
              <w:color w:val="000000"/>
              <w:kern w:val="0"/>
              <w:sz w:val="32"/>
              <w:szCs w:val="32"/>
              <w:lang w:eastAsia="en-US"/>
            </w:rPr>
          </w:pPr>
          <w:bookmarkStart w:id="0" w:name="bookmark2"/>
          <w:bookmarkEnd w:id="0"/>
          <w:bookmarkStart w:id="1" w:name="bookmark1"/>
          <w:bookmarkEnd w:id="1"/>
          <w:r>
            <w:rPr>
              <w:rFonts w:hint="eastAsia" w:ascii="宋体" w:hAnsi="宋体" w:eastAsia="宋体" w:cs="宋体"/>
              <w:snapToGrid w:val="0"/>
              <w:color w:val="000000"/>
              <w:kern w:val="0"/>
              <w:sz w:val="32"/>
              <w:szCs w:val="32"/>
              <w:lang w:eastAsia="en-US"/>
            </w:rPr>
            <w:t>目录</w:t>
          </w:r>
        </w:p>
        <w:p w14:paraId="53BE78BB">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
              <w:bCs/>
              <w:spacing w:val="3"/>
              <w:sz w:val="32"/>
              <w:szCs w:val="32"/>
            </w:rPr>
            <w:fldChar w:fldCharType="begin"/>
          </w:r>
          <w:r>
            <w:rPr>
              <w:rFonts w:hint="eastAsia" w:ascii="仿宋" w:hAnsi="仿宋" w:eastAsia="仿宋" w:cs="仿宋"/>
              <w:b/>
              <w:bCs/>
              <w:spacing w:val="3"/>
              <w:sz w:val="32"/>
              <w:szCs w:val="32"/>
            </w:rPr>
            <w:instrText xml:space="preserve">TOC \o "1-2" \h \u </w:instrText>
          </w:r>
          <w:r>
            <w:rPr>
              <w:rFonts w:hint="eastAsia" w:ascii="仿宋" w:hAnsi="仿宋" w:eastAsia="仿宋" w:cs="仿宋"/>
              <w:b/>
              <w:bCs/>
              <w:spacing w:val="3"/>
              <w:sz w:val="32"/>
              <w:szCs w:val="32"/>
            </w:rPr>
            <w:fldChar w:fldCharType="separate"/>
          </w: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_Toc16930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_Toc16930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46A8513A">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_Toc32000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_Toc32000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644E01DF">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_Toc12690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_Toc12690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E515E6E">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_Toc32646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_Toc32646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7F901F4">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_Toc16672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（四）工作原则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_Toc16672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69C0FC5">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_Toc28321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二、应急组织指挥体系与职责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_Toc28321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5360CC14">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_Toc28960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（一）领导机构与职责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_Toc28960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129D140F">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_Toc25295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（二）成员单位职责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_Toc25295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5E29CB20">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_Toc5035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（三）应急工作机构及职责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_Toc5035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2922530">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_Toc23311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（四）专家组组成及职责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_Toc23311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016F4CD">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_Toc29668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（五）应急联动机制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_Toc29668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542DD8A">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_Toc9619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三、风险管控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_Toc9619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0C5B84D3">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_Toc107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（一）风险识别与评估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_Toc107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0441F7B9">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_Toc13029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（二）风险控制与治理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_Toc13029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4889980A">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_Toc23141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（三）监控与更新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_Toc23141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6C076049">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_Toc20303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四、预防与预警机制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_Toc20303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389E657">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_Toc30143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（一）信息监测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_Toc30143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55527AC8">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_Toc23699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（二）预警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_Toc23699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6AC64340">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_Toc7322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（三）信息报告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_Toc7322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2342BCC">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_Toc13865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五、应急处置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_Toc13865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1C961A5C">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_Toc30465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（一）应急响应原则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_Toc30465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143C780C">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_Toc31900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（二）突发公共卫生事件分级标准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_Toc31900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AE99123">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_Toc338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（三）指挥与协调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_Toc338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5CEADAEA">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_Toc10441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（四）先期处置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_Toc10441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18F9665B">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_Toc28427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（五）应急响应措施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_Toc28427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6F8896F2">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_Toc3587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（六）事件评估与等级确定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_Toc3587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429F11D8">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_Toc9428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（七）分级响应措施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_Toc9428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09A763CC">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_Toc27242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（八）信息发布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_Toc27242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076ACB7C">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_Toc3066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（九）响应终止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_Toc3066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5E98049">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_Toc24319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六、后期处置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_Toc24319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51C3A2C2">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_Toc21186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（一）总结评估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_Toc21186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1D941196">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_Toc13617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（二）善后处置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_Toc13617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33D4B8A">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_Toc2098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（三）社会救助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_Toc2098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8F7FB22">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_Toc17910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七</w:t>
          </w:r>
          <w:r>
            <w:rPr>
              <w:rFonts w:hint="eastAsia" w:ascii="仿宋" w:hAnsi="仿宋" w:eastAsia="仿宋" w:cs="仿宋"/>
              <w:spacing w:val="0"/>
              <w:sz w:val="32"/>
              <w:szCs w:val="32"/>
            </w:rPr>
            <w:t>、保障措施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_Toc17910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4529558">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_Toc14147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（一）信息保障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_Toc14147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ADC29AF">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_Toc14013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（二）人力资源保障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_Toc14013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F0BAB16">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_Toc1186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（三）物资保障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_Toc1186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D3813B3">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_Toc8873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（四）经费保障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_Toc8873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0592A7F2">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_Toc11104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（五）生活保障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_Toc11104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408F4633">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_Toc15103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（六）交通运输保障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_Toc15103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1B8724FA">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_Toc22601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（七）人员防护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_Toc22601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5EAD71C">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_Toc32685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（八）技术储备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_Toc32685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F7B7851">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_Toc8367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八、监督管理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_Toc8367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B517303">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_Toc31052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（一）预案编制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_Toc31052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DD07FC5">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_Toc30968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（二）预案演练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_Toc30968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64A5C186">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_Toc26650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（三）宣传教育培训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_Toc26650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3BA0CB5C">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_Toc28719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（四）预案更新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_Toc28719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246559B5">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_Toc14256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（五）生效</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_Toc14256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07374222">
          <w:pPr>
            <w:pStyle w:val="8"/>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_Toc24922 </w:instrText>
          </w:r>
          <w:r>
            <w:rPr>
              <w:rFonts w:hint="eastAsia" w:ascii="仿宋" w:hAnsi="仿宋" w:eastAsia="仿宋" w:cs="仿宋"/>
              <w:bCs/>
              <w:spacing w:val="3"/>
              <w:sz w:val="32"/>
              <w:szCs w:val="32"/>
            </w:rPr>
            <w:fldChar w:fldCharType="separate"/>
          </w:r>
          <w:r>
            <w:rPr>
              <w:rFonts w:hint="eastAsia" w:ascii="仿宋" w:hAnsi="仿宋" w:eastAsia="仿宋" w:cs="仿宋"/>
              <w:bCs w:val="0"/>
              <w:spacing w:val="0"/>
              <w:sz w:val="32"/>
              <w:szCs w:val="32"/>
              <w:lang w:eastAsia="zh-CN"/>
            </w:rPr>
            <w:t>（六）名词术语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_Toc24922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19870DD3">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_Toc17799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eastAsia="zh-CN"/>
            </w:rPr>
            <w:t>九、附件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_Toc17799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4DF5884">
          <w:pPr>
            <w:pStyle w:val="7"/>
            <w:keepNext w:val="0"/>
            <w:keepLines w:val="0"/>
            <w:pageBreakBefore w:val="0"/>
            <w:widowControl/>
            <w:tabs>
              <w:tab w:val="right" w:leader="dot" w:pos="8822"/>
            </w:tabs>
            <w:kinsoku w:val="0"/>
            <w:wordWrap/>
            <w:overflowPunct/>
            <w:topLinePunct w:val="0"/>
            <w:autoSpaceDE w:val="0"/>
            <w:autoSpaceDN w:val="0"/>
            <w:bidi w:val="0"/>
            <w:adjustRightInd w:val="0"/>
            <w:snapToGrid w:val="0"/>
            <w:spacing w:line="560" w:lineRule="exact"/>
            <w:ind w:firstLine="326" w:firstLineChars="100"/>
            <w:textAlignment w:val="baseline"/>
            <w:rPr>
              <w:rFonts w:hint="eastAsia" w:ascii="仿宋" w:hAnsi="仿宋" w:eastAsia="仿宋" w:cs="仿宋"/>
              <w:sz w:val="32"/>
              <w:szCs w:val="32"/>
            </w:rPr>
          </w:pPr>
          <w:r>
            <w:rPr>
              <w:rFonts w:hint="eastAsia" w:ascii="仿宋" w:hAnsi="仿宋" w:eastAsia="仿宋" w:cs="仿宋"/>
              <w:bCs/>
              <w:spacing w:val="3"/>
              <w:sz w:val="32"/>
              <w:szCs w:val="32"/>
            </w:rPr>
            <w:fldChar w:fldCharType="begin"/>
          </w:r>
          <w:r>
            <w:rPr>
              <w:rFonts w:hint="eastAsia" w:ascii="仿宋" w:hAnsi="仿宋" w:eastAsia="仿宋" w:cs="仿宋"/>
              <w:bCs/>
              <w:spacing w:val="3"/>
              <w:sz w:val="32"/>
              <w:szCs w:val="32"/>
            </w:rPr>
            <w:instrText xml:space="preserve"> HYPERLINK \l _Toc4212 </w:instrText>
          </w:r>
          <w:r>
            <w:rPr>
              <w:rFonts w:hint="eastAsia" w:ascii="仿宋" w:hAnsi="仿宋" w:eastAsia="仿宋" w:cs="仿宋"/>
              <w:bCs/>
              <w:spacing w:val="3"/>
              <w:sz w:val="32"/>
              <w:szCs w:val="32"/>
            </w:rPr>
            <w:fldChar w:fldCharType="separate"/>
          </w:r>
          <w:r>
            <w:rPr>
              <w:rFonts w:hint="eastAsia" w:ascii="仿宋" w:hAnsi="仿宋" w:eastAsia="仿宋" w:cs="仿宋"/>
              <w:spacing w:val="0"/>
              <w:sz w:val="32"/>
              <w:szCs w:val="32"/>
              <w:lang w:val="en-US" w:eastAsia="zh-CN" w:bidi="zh-CN"/>
            </w:rPr>
            <w:t xml:space="preserve">附件 </w:t>
          </w:r>
          <w:r>
            <w:rPr>
              <w:rFonts w:hint="eastAsia" w:ascii="仿宋" w:hAnsi="仿宋" w:eastAsia="仿宋" w:cs="仿宋"/>
              <w:bCs w:val="0"/>
              <w:snapToGrid w:val="0"/>
              <w:spacing w:val="0"/>
              <w:sz w:val="32"/>
              <w:szCs w:val="32"/>
              <w:lang w:val="en-US" w:eastAsia="zh-CN" w:bidi="ar-SA"/>
            </w:rPr>
            <w:t>风险分级管控及评价方法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_Toc4212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bCs/>
              <w:spacing w:val="3"/>
              <w:sz w:val="32"/>
              <w:szCs w:val="32"/>
            </w:rPr>
            <w:fldChar w:fldCharType="end"/>
          </w:r>
        </w:p>
        <w:p w14:paraId="7CD5AC1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outlineLvl w:val="0"/>
            <w:rPr>
              <w:rFonts w:hint="eastAsia" w:ascii="黑体" w:hAnsi="黑体" w:eastAsia="黑体" w:cs="黑体"/>
              <w:spacing w:val="3"/>
              <w:sz w:val="32"/>
              <w:szCs w:val="32"/>
              <w:lang w:eastAsia="zh-CN"/>
            </w:rPr>
            <w:sectPr>
              <w:footerReference r:id="rId3" w:type="default"/>
              <w:pgSz w:w="11906" w:h="16839"/>
              <w:pgMar w:top="1431" w:right="1485" w:bottom="1355" w:left="1599" w:header="0" w:footer="1117" w:gutter="0"/>
              <w:pgNumType w:fmt="decimal" w:start="1"/>
              <w:cols w:space="720" w:num="1"/>
            </w:sectPr>
          </w:pPr>
          <w:r>
            <w:rPr>
              <w:rFonts w:hint="eastAsia" w:ascii="仿宋" w:hAnsi="仿宋" w:eastAsia="仿宋" w:cs="仿宋"/>
              <w:bCs/>
              <w:spacing w:val="3"/>
              <w:sz w:val="32"/>
              <w:szCs w:val="32"/>
            </w:rPr>
            <w:fldChar w:fldCharType="end"/>
          </w:r>
        </w:p>
      </w:sdtContent>
    </w:sdt>
    <w:p w14:paraId="584EB98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2" w:name="_Toc16930"/>
      <w:bookmarkStart w:id="106" w:name="_GoBack"/>
      <w:r>
        <w:rPr>
          <w:rFonts w:hint="eastAsia" w:ascii="黑体" w:hAnsi="黑体" w:eastAsia="黑体" w:cs="黑体"/>
          <w:color w:val="auto"/>
          <w:spacing w:val="0"/>
          <w:sz w:val="32"/>
          <w:szCs w:val="32"/>
          <w:lang w:eastAsia="zh-CN"/>
        </w:rPr>
        <w:t>一、总则</w:t>
      </w:r>
      <w:bookmarkEnd w:id="2"/>
    </w:p>
    <w:p w14:paraId="5F30075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3" w:name="bookmark47"/>
      <w:bookmarkEnd w:id="3"/>
      <w:bookmarkStart w:id="4" w:name="_Toc32000"/>
      <w:r>
        <w:rPr>
          <w:rFonts w:hint="eastAsia" w:ascii="楷体" w:hAnsi="楷体" w:eastAsia="楷体" w:cs="楷体"/>
          <w:b w:val="0"/>
          <w:bCs w:val="0"/>
          <w:color w:val="auto"/>
          <w:spacing w:val="0"/>
          <w:sz w:val="32"/>
          <w:szCs w:val="32"/>
          <w:lang w:eastAsia="zh-CN"/>
        </w:rPr>
        <w:t>（一）编制目的</w:t>
      </w:r>
      <w:bookmarkEnd w:id="4"/>
    </w:p>
    <w:p w14:paraId="5096A79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为有效预防、及时控制和消除向阳区突发公共卫生事件及其危害，指导和规范各类突发公共卫生事件的应急处置工作，最大限度地减少突发公共卫生事件对公众健康造成的危害，特制定本预案。</w:t>
      </w:r>
    </w:p>
    <w:p w14:paraId="3EA91A6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楷体" w:hAnsi="楷体" w:eastAsia="楷体" w:cs="楷体"/>
          <w:b w:val="0"/>
          <w:bCs w:val="0"/>
          <w:color w:val="auto"/>
          <w:spacing w:val="0"/>
          <w:sz w:val="32"/>
          <w:szCs w:val="32"/>
          <w:lang w:eastAsia="zh-CN"/>
        </w:rPr>
      </w:pPr>
      <w:bookmarkStart w:id="5" w:name="bookmark3"/>
      <w:bookmarkEnd w:id="5"/>
      <w:bookmarkStart w:id="6" w:name="_Toc12690"/>
      <w:r>
        <w:rPr>
          <w:rFonts w:hint="eastAsia" w:ascii="楷体" w:hAnsi="楷体" w:eastAsia="楷体" w:cs="楷体"/>
          <w:b w:val="0"/>
          <w:bCs w:val="0"/>
          <w:color w:val="auto"/>
          <w:spacing w:val="0"/>
          <w:sz w:val="32"/>
          <w:szCs w:val="32"/>
          <w:lang w:eastAsia="zh-CN"/>
        </w:rPr>
        <w:t>（二）编制依据</w:t>
      </w:r>
      <w:bookmarkEnd w:id="6"/>
    </w:p>
    <w:p w14:paraId="786708F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1.《中华人民共和国基本医疗卫生与健康促进法》（主席令第38号）</w:t>
      </w:r>
    </w:p>
    <w:p w14:paraId="23CF7E8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2.《中华人民共和国传染病防治法》（主席令第47号）</w:t>
      </w:r>
    </w:p>
    <w:p w14:paraId="6A363E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3.《中华人民共和国食品安全法》（主席令第21号）</w:t>
      </w:r>
    </w:p>
    <w:p w14:paraId="3E04360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4.《中华人民共和国职业病防治法》（主席令第60号）</w:t>
      </w:r>
    </w:p>
    <w:p w14:paraId="4299911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5.《中华人民共和国突发事件应对法》（主席令第25号）</w:t>
      </w:r>
    </w:p>
    <w:p w14:paraId="18611F4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6.《中华人民共和国国境卫生检疫法》（2024年6月28日修订）</w:t>
      </w:r>
    </w:p>
    <w:p w14:paraId="60FA29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7.《中华人民共和国疫苗管理法》（主席令第30号）</w:t>
      </w:r>
    </w:p>
    <w:p w14:paraId="780CA3F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8.《突发公共卫生事件应急条例》（2025年9月12日第十四届全国人民代表大会常务委员会第十七次会议通过）</w:t>
      </w:r>
    </w:p>
    <w:p w14:paraId="17FBD5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9.《中华人民共和国国内交通卫生检疫条例》（国务院令第254号发布）</w:t>
      </w:r>
    </w:p>
    <w:p w14:paraId="3337E9E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10.《国家突发公共卫生事件应急预案》（2006年2月26日）</w:t>
      </w:r>
    </w:p>
    <w:p w14:paraId="03150F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11.《黑龙江省突发公共卫生事件应急预案》（黑政办发〔2024〕12号）</w:t>
      </w:r>
    </w:p>
    <w:p w14:paraId="5A11864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12.《佳木斯市向阳区突发事件总体应急预案》</w:t>
      </w:r>
      <w:bookmarkStart w:id="7" w:name="bookmark4"/>
      <w:bookmarkEnd w:id="7"/>
    </w:p>
    <w:p w14:paraId="6D589FE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8" w:name="_Toc32646"/>
      <w:r>
        <w:rPr>
          <w:rFonts w:hint="default" w:ascii="Times New Roman" w:hAnsi="Times New Roman" w:eastAsia="楷体" w:cs="Times New Roman"/>
          <w:b w:val="0"/>
          <w:bCs w:val="0"/>
          <w:color w:val="auto"/>
          <w:spacing w:val="0"/>
          <w:sz w:val="32"/>
          <w:szCs w:val="32"/>
          <w:lang w:eastAsia="zh-CN"/>
        </w:rPr>
        <w:t>（三）适用范围</w:t>
      </w:r>
      <w:bookmarkEnd w:id="8"/>
    </w:p>
    <w:p w14:paraId="7BFADFB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适用于向阳区行政区域内突然发生，造成或者可能造成社会公众健康严重损害的重大传染病疫情、群体性不明原因疾病、重大食物和职业中毒以及其他严重影响公众健康的事件的应急处理工作。</w:t>
      </w:r>
    </w:p>
    <w:p w14:paraId="6265734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9" w:name="bookmark6"/>
      <w:bookmarkEnd w:id="9"/>
      <w:bookmarkStart w:id="10" w:name="bookmark5"/>
      <w:bookmarkEnd w:id="10"/>
      <w:bookmarkStart w:id="11" w:name="_Toc16672"/>
      <w:r>
        <w:rPr>
          <w:rFonts w:hint="default" w:ascii="Times New Roman" w:hAnsi="Times New Roman" w:eastAsia="楷体" w:cs="Times New Roman"/>
          <w:b w:val="0"/>
          <w:bCs w:val="0"/>
          <w:color w:val="auto"/>
          <w:spacing w:val="0"/>
          <w:sz w:val="32"/>
          <w:szCs w:val="32"/>
          <w:lang w:eastAsia="zh-CN"/>
        </w:rPr>
        <w:t>（四）工作原则</w:t>
      </w:r>
      <w:bookmarkEnd w:id="11"/>
    </w:p>
    <w:p w14:paraId="690458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1.人民至上，预防为主。</w:t>
      </w:r>
      <w:r>
        <w:rPr>
          <w:rFonts w:hint="eastAsia" w:ascii="仿宋" w:hAnsi="仿宋" w:eastAsia="仿宋" w:cs="仿宋"/>
          <w:color w:val="auto"/>
          <w:spacing w:val="0"/>
          <w:sz w:val="32"/>
          <w:szCs w:val="32"/>
          <w:lang w:eastAsia="zh-CN"/>
        </w:rPr>
        <w:t>各街道办事处、村屯及全社会要切实强化公共卫生安全观念，始终把维护人民群众生命安全和身体健康放在第一位，做好各项卫生应急工作。积极配合开展卫生应急准备，落实防范措施，做到有备无患；强化监测报告、风险评估、预警预测，对可能发生的事件做到早发现、早报告、早隔离、早治疗。</w:t>
      </w:r>
    </w:p>
    <w:p w14:paraId="66B52AE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2.统一领导，分级负责。</w:t>
      </w:r>
      <w:r>
        <w:rPr>
          <w:rFonts w:hint="default" w:ascii="仿宋" w:hAnsi="仿宋" w:eastAsia="仿宋" w:cs="仿宋"/>
          <w:color w:val="auto"/>
          <w:spacing w:val="0"/>
          <w:sz w:val="32"/>
          <w:szCs w:val="32"/>
          <w:lang w:eastAsia="zh-CN"/>
        </w:rPr>
        <w:t>根据事件的范围、性质和危害程度，对事件进行分级管理，实行集中领导和统一指挥。各部门按照机构职能和职责分工，认真履职，做好事件预防与应急处置工作。</w:t>
      </w:r>
    </w:p>
    <w:p w14:paraId="4F3B95A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3.平战结合，常备不懈。</w:t>
      </w:r>
      <w:r>
        <w:rPr>
          <w:rFonts w:hint="default" w:ascii="仿宋" w:hAnsi="仿宋" w:eastAsia="仿宋" w:cs="仿宋"/>
          <w:color w:val="auto"/>
          <w:spacing w:val="0"/>
          <w:sz w:val="32"/>
          <w:szCs w:val="32"/>
          <w:lang w:eastAsia="zh-CN"/>
        </w:rPr>
        <w:t>各街道办事处、村屯、各部门配合卫健部门做好人员、技术、经费、物资、设备等应急储备和信息化建设投入，加强队伍建设、管理与维持，加强卫生应急队伍培训演练，提高“平战”快速转换能力，做到常备不懈、快速反应。</w:t>
      </w:r>
    </w:p>
    <w:p w14:paraId="3BE8977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4.依法管理，科学防治。</w:t>
      </w:r>
      <w:r>
        <w:rPr>
          <w:rFonts w:hint="default" w:ascii="仿宋" w:hAnsi="仿宋" w:eastAsia="仿宋" w:cs="仿宋"/>
          <w:color w:val="auto"/>
          <w:spacing w:val="0"/>
          <w:sz w:val="32"/>
          <w:szCs w:val="32"/>
          <w:lang w:eastAsia="zh-CN"/>
        </w:rPr>
        <w:t>卫健局构建系统完备、相互衔接的公共卫生法律法规和政策制度体系，严格落实各项防控措施，做到全面规范、依法管理、审慎研判、果断决策；充分尊重和依靠科学，重视科研创新，提升数字化智能化防控水平，实现分区分级、精密智控。</w:t>
      </w:r>
    </w:p>
    <w:p w14:paraId="650840E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5.联防联控，社会参与。</w:t>
      </w:r>
      <w:r>
        <w:rPr>
          <w:rFonts w:hint="default" w:ascii="仿宋" w:hAnsi="仿宋" w:eastAsia="仿宋" w:cs="仿宋"/>
          <w:color w:val="auto"/>
          <w:spacing w:val="0"/>
          <w:sz w:val="32"/>
          <w:szCs w:val="32"/>
          <w:lang w:eastAsia="zh-CN"/>
        </w:rPr>
        <w:t>建立部门协同、上下联动、区域协作、信息共享的联防联控机制。积极整合协调社会力量、民间组织和志愿者队伍等，共同参与防控。加强宣传教育和社区动员，提高公众自我防护能力和社会责任意识，积极组织开展群防群控。全面准备，制定科学规范工作流程，统筹各方资源，做到科学有序防控。</w:t>
      </w:r>
    </w:p>
    <w:p w14:paraId="08AE6A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12" w:name="_Toc28321"/>
      <w:r>
        <w:rPr>
          <w:rFonts w:hint="default" w:ascii="Times New Roman" w:hAnsi="Times New Roman" w:eastAsia="黑体" w:cs="Times New Roman"/>
          <w:color w:val="auto"/>
          <w:spacing w:val="0"/>
          <w:sz w:val="32"/>
          <w:szCs w:val="32"/>
          <w:lang w:eastAsia="zh-CN"/>
        </w:rPr>
        <w:t>二、应急组织指挥体系与职责</w:t>
      </w:r>
      <w:bookmarkEnd w:id="12"/>
    </w:p>
    <w:p w14:paraId="263E843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3" w:name="bookmark7"/>
      <w:bookmarkEnd w:id="13"/>
      <w:bookmarkStart w:id="14" w:name="_Toc28960"/>
      <w:r>
        <w:rPr>
          <w:rFonts w:hint="default" w:ascii="Times New Roman" w:hAnsi="Times New Roman" w:eastAsia="楷体" w:cs="Times New Roman"/>
          <w:b w:val="0"/>
          <w:bCs w:val="0"/>
          <w:color w:val="auto"/>
          <w:spacing w:val="0"/>
          <w:sz w:val="32"/>
          <w:szCs w:val="32"/>
          <w:lang w:eastAsia="zh-CN"/>
        </w:rPr>
        <w:t>（一）领导机构与职责</w:t>
      </w:r>
      <w:bookmarkEnd w:id="14"/>
    </w:p>
    <w:p w14:paraId="47636CB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在区委、区政府统一领导和市卫生健康行政主管部门的指导下，区突发公共卫生事件应急指挥部负责组织、协调全区突发公共卫生事件应急处理工作。</w:t>
      </w:r>
    </w:p>
    <w:p w14:paraId="4C4E01B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1.突发公共卫生事件应急指挥部组成及职责</w:t>
      </w:r>
    </w:p>
    <w:p w14:paraId="6557314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highlight w:val="none"/>
          <w:lang w:val="en-US"/>
        </w:rPr>
        <w:t>总</w:t>
      </w:r>
      <w:r>
        <w:rPr>
          <w:rFonts w:hint="eastAsia" w:ascii="仿宋" w:hAnsi="仿宋" w:eastAsia="仿宋" w:cs="仿宋"/>
          <w:color w:val="auto"/>
          <w:spacing w:val="0"/>
          <w:sz w:val="32"/>
          <w:szCs w:val="32"/>
          <w:highlight w:val="none"/>
          <w:lang w:val="en-US" w:eastAsia="zh-CN"/>
        </w:rPr>
        <w:t xml:space="preserve"> </w:t>
      </w:r>
      <w:r>
        <w:rPr>
          <w:rFonts w:hint="eastAsia" w:ascii="仿宋" w:hAnsi="仿宋" w:eastAsia="仿宋" w:cs="仿宋"/>
          <w:color w:val="auto"/>
          <w:spacing w:val="0"/>
          <w:sz w:val="32"/>
          <w:szCs w:val="32"/>
          <w:highlight w:val="none"/>
          <w:lang w:val="en-US"/>
        </w:rPr>
        <w:t>指</w:t>
      </w:r>
      <w:r>
        <w:rPr>
          <w:rFonts w:hint="eastAsia" w:ascii="仿宋" w:hAnsi="仿宋" w:eastAsia="仿宋" w:cs="仿宋"/>
          <w:color w:val="auto"/>
          <w:spacing w:val="0"/>
          <w:sz w:val="32"/>
          <w:szCs w:val="32"/>
          <w:highlight w:val="none"/>
          <w:lang w:val="en-US" w:eastAsia="zh-CN"/>
        </w:rPr>
        <w:t xml:space="preserve"> </w:t>
      </w:r>
      <w:r>
        <w:rPr>
          <w:rFonts w:hint="eastAsia" w:ascii="仿宋" w:hAnsi="仿宋" w:eastAsia="仿宋" w:cs="仿宋"/>
          <w:color w:val="auto"/>
          <w:spacing w:val="0"/>
          <w:sz w:val="32"/>
          <w:szCs w:val="32"/>
          <w:highlight w:val="none"/>
          <w:lang w:val="en-US"/>
        </w:rPr>
        <w:t>挥：</w:t>
      </w:r>
      <w:r>
        <w:rPr>
          <w:rFonts w:hint="eastAsia" w:ascii="仿宋" w:hAnsi="仿宋" w:eastAsia="仿宋" w:cs="仿宋"/>
          <w:color w:val="auto"/>
          <w:spacing w:val="0"/>
          <w:sz w:val="32"/>
          <w:szCs w:val="32"/>
          <w:lang w:eastAsia="zh-CN"/>
        </w:rPr>
        <w:t>区委常委、常务副区长</w:t>
      </w:r>
    </w:p>
    <w:p w14:paraId="6F7233B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napToGrid/>
          <w:color w:val="auto"/>
          <w:spacing w:val="0"/>
          <w:sz w:val="32"/>
          <w:szCs w:val="32"/>
          <w:lang w:val="zh-CN" w:eastAsia="zh-CN" w:bidi="zh-CN"/>
        </w:rPr>
      </w:pPr>
      <w:r>
        <w:rPr>
          <w:rFonts w:hint="eastAsia" w:ascii="仿宋" w:hAnsi="仿宋" w:eastAsia="仿宋" w:cs="仿宋"/>
          <w:color w:val="auto"/>
          <w:spacing w:val="0"/>
          <w:sz w:val="32"/>
          <w:szCs w:val="32"/>
          <w:highlight w:val="none"/>
          <w:lang w:val="en-US"/>
        </w:rPr>
        <w:t>副总指挥：</w:t>
      </w:r>
      <w:r>
        <w:rPr>
          <w:rFonts w:hint="eastAsia" w:ascii="仿宋" w:hAnsi="仿宋" w:eastAsia="仿宋" w:cs="仿宋"/>
          <w:snapToGrid/>
          <w:color w:val="auto"/>
          <w:spacing w:val="0"/>
          <w:sz w:val="32"/>
          <w:szCs w:val="32"/>
          <w:lang w:val="zh-CN" w:eastAsia="zh-CN" w:bidi="zh-CN"/>
        </w:rPr>
        <w:t>主管行业副区长</w:t>
      </w:r>
    </w:p>
    <w:p w14:paraId="4F7F98B0">
      <w:pPr>
        <w:keepNext w:val="0"/>
        <w:keepLines w:val="0"/>
        <w:pageBreakBefore w:val="0"/>
        <w:widowControl w:val="0"/>
        <w:kinsoku/>
        <w:wordWrap/>
        <w:overflowPunct/>
        <w:topLinePunct w:val="0"/>
        <w:autoSpaceDE w:val="0"/>
        <w:autoSpaceDN w:val="0"/>
        <w:bidi w:val="0"/>
        <w:adjustRightInd/>
        <w:snapToGrid/>
        <w:spacing w:line="560" w:lineRule="exact"/>
        <w:ind w:firstLine="2240" w:firstLineChars="7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区卫健局局长</w:t>
      </w:r>
    </w:p>
    <w:p w14:paraId="31328A52">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snapToGrid w:val="0"/>
          <w:color w:val="auto"/>
          <w:spacing w:val="0"/>
          <w:sz w:val="32"/>
          <w:szCs w:val="32"/>
          <w:lang w:val="en-US" w:eastAsia="zh-CN" w:bidi="ar-SA"/>
        </w:rPr>
      </w:pPr>
      <w:r>
        <w:rPr>
          <w:rFonts w:hint="default" w:ascii="仿宋" w:hAnsi="仿宋" w:eastAsia="仿宋" w:cs="仿宋"/>
          <w:color w:val="auto"/>
          <w:spacing w:val="0"/>
          <w:sz w:val="32"/>
          <w:szCs w:val="32"/>
          <w:lang w:eastAsia="zh-CN"/>
        </w:rPr>
        <w:t>成员单位</w:t>
      </w:r>
      <w:r>
        <w:rPr>
          <w:rFonts w:hint="eastAsia" w:ascii="仿宋" w:hAnsi="仿宋" w:eastAsia="仿宋" w:cs="仿宋"/>
          <w:snapToGrid w:val="0"/>
          <w:color w:val="auto"/>
          <w:spacing w:val="0"/>
          <w:sz w:val="32"/>
          <w:szCs w:val="32"/>
          <w:lang w:val="en-US" w:eastAsia="zh-CN" w:bidi="ar-SA"/>
        </w:rPr>
        <w:t>：区委宣传部</w:t>
      </w:r>
    </w:p>
    <w:p w14:paraId="6E7FCD07">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区卫健局</w:t>
      </w:r>
    </w:p>
    <w:p w14:paraId="5DA1BDB0">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区工信局</w:t>
      </w:r>
    </w:p>
    <w:p w14:paraId="1E8D8F0E">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区发改局</w:t>
      </w:r>
    </w:p>
    <w:p w14:paraId="5F2F9E0E">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区应急局</w:t>
      </w:r>
    </w:p>
    <w:p w14:paraId="288C7583">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区教育局</w:t>
      </w:r>
    </w:p>
    <w:p w14:paraId="4E19B6CB">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区民政局</w:t>
      </w:r>
    </w:p>
    <w:p w14:paraId="65544AAA">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区财政局</w:t>
      </w:r>
    </w:p>
    <w:p w14:paraId="55873119">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区人社局</w:t>
      </w:r>
    </w:p>
    <w:p w14:paraId="70AF15DD">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区住建局</w:t>
      </w:r>
    </w:p>
    <w:p w14:paraId="6A30117C">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区水务局</w:t>
      </w:r>
    </w:p>
    <w:p w14:paraId="30D94318">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区商务局</w:t>
      </w:r>
    </w:p>
    <w:p w14:paraId="4F8BAE14">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区文旅局</w:t>
      </w:r>
    </w:p>
    <w:p w14:paraId="008D072C">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区市场局</w:t>
      </w:r>
    </w:p>
    <w:p w14:paraId="0727AD60">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区城管局</w:t>
      </w:r>
    </w:p>
    <w:p w14:paraId="33BBA1FD">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向阳公安分局</w:t>
      </w:r>
    </w:p>
    <w:p w14:paraId="6EEAA44D">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向阳交警大队</w:t>
      </w:r>
    </w:p>
    <w:p w14:paraId="60C3CF32">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区消防救援大队</w:t>
      </w:r>
    </w:p>
    <w:p w14:paraId="03C9826C">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区营商局</w:t>
      </w:r>
    </w:p>
    <w:p w14:paraId="7C8C28B5">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区审计局</w:t>
      </w:r>
    </w:p>
    <w:p w14:paraId="36799F4A">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区统计局</w:t>
      </w:r>
    </w:p>
    <w:p w14:paraId="3D85B436">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区检察院</w:t>
      </w:r>
    </w:p>
    <w:p w14:paraId="2747C0B7">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区司法局</w:t>
      </w:r>
    </w:p>
    <w:p w14:paraId="56787E76">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区退役军人事务局</w:t>
      </w:r>
    </w:p>
    <w:p w14:paraId="5FA6FF84">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各街道办事处</w:t>
      </w:r>
    </w:p>
    <w:p w14:paraId="738FCA2F">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b/>
          <w:bCs/>
          <w:color w:val="auto"/>
          <w:spacing w:val="0"/>
          <w:sz w:val="32"/>
          <w:szCs w:val="32"/>
          <w:lang w:eastAsia="zh-CN"/>
        </w:rPr>
      </w:pPr>
      <w:r>
        <w:rPr>
          <w:rFonts w:hint="eastAsia" w:ascii="仿宋" w:hAnsi="仿宋" w:eastAsia="仿宋" w:cs="仿宋"/>
          <w:snapToGrid w:val="0"/>
          <w:color w:val="auto"/>
          <w:spacing w:val="0"/>
          <w:sz w:val="32"/>
          <w:szCs w:val="32"/>
          <w:lang w:val="en-US" w:eastAsia="zh-CN" w:bidi="ar-SA"/>
        </w:rPr>
        <w:t>各村屯</w:t>
      </w:r>
    </w:p>
    <w:p w14:paraId="03B440CA">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区红十字会</w:t>
      </w:r>
    </w:p>
    <w:p w14:paraId="76EF4433">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团区委</w:t>
      </w:r>
    </w:p>
    <w:p w14:paraId="68FED205">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区妇联</w:t>
      </w:r>
    </w:p>
    <w:p w14:paraId="0AD103A9">
      <w:pPr>
        <w:pStyle w:val="4"/>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2240" w:firstLineChars="700"/>
        <w:jc w:val="both"/>
        <w:textAlignment w:val="auto"/>
        <w:rPr>
          <w:rFonts w:hint="eastAsia" w:ascii="仿宋" w:hAnsi="仿宋" w:eastAsia="仿宋" w:cs="仿宋"/>
          <w:snapToGrid w:val="0"/>
          <w:color w:val="auto"/>
          <w:spacing w:val="0"/>
          <w:sz w:val="32"/>
          <w:szCs w:val="32"/>
          <w:lang w:val="en-US" w:eastAsia="zh-CN" w:bidi="ar-SA"/>
        </w:rPr>
      </w:pPr>
      <w:r>
        <w:rPr>
          <w:rFonts w:hint="eastAsia" w:ascii="仿宋" w:hAnsi="仿宋" w:eastAsia="仿宋" w:cs="仿宋"/>
          <w:snapToGrid w:val="0"/>
          <w:color w:val="auto"/>
          <w:spacing w:val="0"/>
          <w:sz w:val="32"/>
          <w:szCs w:val="32"/>
          <w:lang w:val="en-US" w:eastAsia="zh-CN" w:bidi="ar-SA"/>
        </w:rPr>
        <w:t>相关企事业单位负责人</w:t>
      </w:r>
    </w:p>
    <w:p w14:paraId="4F923B4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根据突发公共卫生事件的性质和应急处理的需要确定</w:t>
      </w:r>
      <w:r>
        <w:rPr>
          <w:rFonts w:hint="eastAsia" w:ascii="仿宋" w:hAnsi="仿宋" w:eastAsia="仿宋" w:cs="仿宋"/>
          <w:color w:val="auto"/>
          <w:spacing w:val="0"/>
          <w:sz w:val="32"/>
          <w:szCs w:val="32"/>
          <w:lang w:eastAsia="zh-CN"/>
        </w:rPr>
        <w:t>。</w:t>
      </w:r>
    </w:p>
    <w:p w14:paraId="37F80C7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应急指挥部职责：</w:t>
      </w:r>
    </w:p>
    <w:p w14:paraId="4202577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（1）负责统一领导和指挥突发公共卫生事件应急处理工作；</w:t>
      </w:r>
    </w:p>
    <w:p w14:paraId="6EE2593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（2）研究决定应急处理的重大决策和重要事项，调动社会资源力量参与处理；</w:t>
      </w:r>
    </w:p>
    <w:p w14:paraId="7C850C1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（3）决定启动、调整或终止突发事件应急响应级别。</w:t>
      </w:r>
    </w:p>
    <w:p w14:paraId="172D8CE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2.应急指挥部办公室</w:t>
      </w:r>
    </w:p>
    <w:p w14:paraId="498406F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设在区卫健局，办公室主任由区卫健局局长担任。</w:t>
      </w:r>
    </w:p>
    <w:p w14:paraId="690CD5C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应急指挥部办公室职责：</w:t>
      </w:r>
    </w:p>
    <w:p w14:paraId="2C72F4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（1）承担突发公共卫生事件应急指挥部的日常工作，贯彻落实国家、省、市公共卫生健康工作的法律法规、政策；</w:t>
      </w:r>
    </w:p>
    <w:p w14:paraId="5120D36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（2）按照区突发公共卫生事件应急指挥部的指示，协调、督促、指导成员单位开展应急处置工作；</w:t>
      </w:r>
    </w:p>
    <w:p w14:paraId="735B18B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（3）及时掌握全区突发卫生事件情况，提出应急处置措施建议供应急指挥部精准决策。</w:t>
      </w:r>
    </w:p>
    <w:p w14:paraId="08D01FD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5" w:name="bookmark8"/>
      <w:bookmarkEnd w:id="15"/>
      <w:bookmarkStart w:id="16" w:name="_Toc25295"/>
      <w:r>
        <w:rPr>
          <w:rFonts w:hint="default" w:ascii="Times New Roman" w:hAnsi="Times New Roman" w:eastAsia="楷体" w:cs="Times New Roman"/>
          <w:b w:val="0"/>
          <w:bCs w:val="0"/>
          <w:color w:val="auto"/>
          <w:spacing w:val="0"/>
          <w:sz w:val="32"/>
          <w:szCs w:val="32"/>
          <w:lang w:eastAsia="zh-CN"/>
        </w:rPr>
        <w:t>（二）成员单位职责</w:t>
      </w:r>
      <w:bookmarkEnd w:id="16"/>
    </w:p>
    <w:p w14:paraId="336147C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1.区委宣传部</w:t>
      </w:r>
    </w:p>
    <w:p w14:paraId="360C6A2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负责组织新闻媒体及时报道应急指挥部发布的突发公共卫生事件信息，积极主动地正确引导舆论，加强突发公共卫生事件应急处置的宣传报道和危机心理干预，大力普及疫病防治知识。</w:t>
      </w:r>
    </w:p>
    <w:p w14:paraId="1550219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2.区卫健局</w:t>
      </w:r>
    </w:p>
    <w:p w14:paraId="3E269BF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组织有关单位、有关医疗机构编制、修订突发公共卫生事件应急预案；组织专业医务人员技术培训，提高医务人员应对突发公共卫生事件的能力；开展全面健康教育，普及突发公共卫生事件应急知识和技能；负责对现场应急行动的整体协调，按照相关法律法规规定的报告程序建立突发公共卫生事件相关信息的收集、上报制度；组织制定并落实突发公共卫生事件应急处置措施。</w:t>
      </w:r>
    </w:p>
    <w:p w14:paraId="6A3B20D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3.区工信局</w:t>
      </w:r>
    </w:p>
    <w:p w14:paraId="7967891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对工业企业突发公共卫生事件应急处置工作进行监督、管理。</w:t>
      </w:r>
    </w:p>
    <w:p w14:paraId="1403C91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4.区发改局</w:t>
      </w:r>
    </w:p>
    <w:p w14:paraId="70457F8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指导行政区域内公共卫生体系基础设施领域项目突发公共卫生事件应急处置工作进行监督、管理。</w:t>
      </w:r>
    </w:p>
    <w:p w14:paraId="353AE6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5.区应急局</w:t>
      </w:r>
    </w:p>
    <w:p w14:paraId="2FB0DD0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在应急指挥部的指挥下，协助做好突发公共卫生事件防控及应急处置工作。</w:t>
      </w:r>
    </w:p>
    <w:p w14:paraId="2F1D4A3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6.区教育局</w:t>
      </w:r>
    </w:p>
    <w:p w14:paraId="11B5CC1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负责组织学校突发公共卫生事件防范工作，落实各项控制措施。</w:t>
      </w:r>
    </w:p>
    <w:p w14:paraId="0662941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7.区民政局</w:t>
      </w:r>
    </w:p>
    <w:p w14:paraId="0ED765F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组织并管理社会捐助工作，做好捐助款物的管理和发放工作；协调做好死亡人员的遗体消毒火化和其他善后工作。</w:t>
      </w:r>
    </w:p>
    <w:p w14:paraId="786F45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8.区财政局</w:t>
      </w:r>
    </w:p>
    <w:p w14:paraId="5FD0668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负责突发公共卫生事件应急防治体系建设和突发公共卫生事件应急处置所需经费的筹划和拨付等工作。</w:t>
      </w:r>
    </w:p>
    <w:p w14:paraId="58FACFF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9.区人社局</w:t>
      </w:r>
    </w:p>
    <w:p w14:paraId="29091F0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负责与市人社局沟通，按照国务院《工伤保险条例》的规定，会同有关部门落实好参与突发卫生事件应急处置工作受伤人员的伤亡待遇问题。</w:t>
      </w:r>
    </w:p>
    <w:p w14:paraId="5DF849C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10.区住建局</w:t>
      </w:r>
    </w:p>
    <w:p w14:paraId="19322E6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负责上报市住建局，协助市住建部门开展建筑施工系统突发公共卫生事件防范工作，协助落实各项控制措施，协助做好城市供水安全工作。</w:t>
      </w:r>
    </w:p>
    <w:p w14:paraId="352B159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11.区水务局</w:t>
      </w:r>
    </w:p>
    <w:p w14:paraId="50E7F2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负责管辖系统突发公共卫生事件防范工作；与市气象、水利等部门沟通，获得最新气象、水文等信息资料，为突发公共卫生事件应对措施的制定提供依据。</w:t>
      </w:r>
    </w:p>
    <w:p w14:paraId="6D3FF51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12.区商务局</w:t>
      </w:r>
    </w:p>
    <w:p w14:paraId="49AB245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负责组织协调受突发公共卫生事件影响地区生活必需品以及部分应急物资的供应工作。</w:t>
      </w:r>
    </w:p>
    <w:p w14:paraId="459CF5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13.区文旅局</w:t>
      </w:r>
    </w:p>
    <w:p w14:paraId="318A5EF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负责组织文化娱乐场所、旅游景区等人群密集场所的突发公共卫生事件防范工作，落实各项控制措施。</w:t>
      </w:r>
    </w:p>
    <w:p w14:paraId="246A178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14.区市场局</w:t>
      </w:r>
    </w:p>
    <w:p w14:paraId="1514675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配合市市场局加强对药品生产流通领域的监督管理，严肃查处制售假冒伪劣产品和发布虚假广告行为；在突发公共卫生事件发生时，维护市场秩序，保持物价稳定。</w:t>
      </w:r>
    </w:p>
    <w:p w14:paraId="4ACC2B6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15.区城管局</w:t>
      </w:r>
    </w:p>
    <w:p w14:paraId="15AAB36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组织协调垃圾处理等城市市政运营系统突发公共卫生事件防范工作；为突发公共卫生事件应急救援工作提供相关保障。</w:t>
      </w:r>
    </w:p>
    <w:p w14:paraId="50B0BF0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16.向阳公安分局</w:t>
      </w:r>
    </w:p>
    <w:p w14:paraId="279E004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负责密切注视与突发公共卫生事件有关的社会动态，会同有关部门依法、及时、妥善处置相关的突发事件，查处打击违法犯罪活动，维护社会稳定；配合应急指挥部行动，依法落实封锁、控制、隔离等措施。</w:t>
      </w:r>
    </w:p>
    <w:p w14:paraId="737DAA9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17.向阳交警大队</w:t>
      </w:r>
    </w:p>
    <w:p w14:paraId="370633E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保证突发公共卫生事件应急处置人员、车辆的优先通行。</w:t>
      </w:r>
    </w:p>
    <w:p w14:paraId="0402F99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18.区消防救援大队</w:t>
      </w:r>
    </w:p>
    <w:p w14:paraId="012EF92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配合做好突发公共卫生事件应急处置工作。</w:t>
      </w:r>
    </w:p>
    <w:p w14:paraId="0219A72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19.各街道办事处、村屯</w:t>
      </w:r>
    </w:p>
    <w:p w14:paraId="2D2DAC4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在卫健系统的指导下做好各自管辖范围内突发公共卫生事件统计、上报、应急救援工作。</w:t>
      </w:r>
    </w:p>
    <w:p w14:paraId="4C3603F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20.其他部门</w:t>
      </w:r>
    </w:p>
    <w:p w14:paraId="4F436E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负责本行业（系统）突发公共卫生事件应急处置；完成应急指挥部指派的其他工作。</w:t>
      </w:r>
    </w:p>
    <w:p w14:paraId="68F3944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7" w:name="bookmark9"/>
      <w:bookmarkEnd w:id="17"/>
      <w:bookmarkStart w:id="18" w:name="_Toc5035"/>
      <w:r>
        <w:rPr>
          <w:rFonts w:hint="default" w:ascii="Times New Roman" w:hAnsi="Times New Roman" w:eastAsia="楷体" w:cs="Times New Roman"/>
          <w:b w:val="0"/>
          <w:bCs w:val="0"/>
          <w:color w:val="auto"/>
          <w:spacing w:val="0"/>
          <w:sz w:val="32"/>
          <w:szCs w:val="32"/>
          <w:lang w:eastAsia="zh-CN"/>
        </w:rPr>
        <w:t>（三）应急工作机构及职责</w:t>
      </w:r>
      <w:bookmarkEnd w:id="18"/>
    </w:p>
    <w:p w14:paraId="638BFE7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b/>
          <w:bCs/>
          <w:color w:val="auto"/>
          <w:spacing w:val="0"/>
          <w:sz w:val="32"/>
          <w:szCs w:val="32"/>
          <w:lang w:eastAsia="zh-CN"/>
        </w:rPr>
      </w:pPr>
      <w:r>
        <w:rPr>
          <w:rFonts w:hint="eastAsia" w:ascii="仿宋" w:hAnsi="仿宋" w:eastAsia="仿宋" w:cs="仿宋"/>
          <w:b/>
          <w:bCs/>
          <w:color w:val="auto"/>
          <w:spacing w:val="0"/>
          <w:sz w:val="32"/>
          <w:szCs w:val="32"/>
          <w:lang w:eastAsia="zh-CN"/>
        </w:rPr>
        <w:t>1.抢险救援组</w:t>
      </w:r>
    </w:p>
    <w:p w14:paraId="0CAF296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牵头单位：区应急指挥部</w:t>
      </w:r>
    </w:p>
    <w:p w14:paraId="36D4110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成员单位：区卫健局、区应急局、区消防救援大队、突发事件所在街道办事处、村屯、企事业单位</w:t>
      </w:r>
    </w:p>
    <w:p w14:paraId="009E5E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职责：负责实施应急指挥部批准的抢险救援方案；向后勤保障组和有关部门提供抢险救援所需物资清单；组织救援人员进入事故现场实施救援。</w:t>
      </w:r>
    </w:p>
    <w:p w14:paraId="568C47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2.医疗救护组</w:t>
      </w:r>
    </w:p>
    <w:p w14:paraId="5E9983C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牵头单位：区卫健局</w:t>
      </w:r>
    </w:p>
    <w:p w14:paraId="4262922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成员单位：各医疗卫生机构、区市场局、突发事件所在街道办事处、村屯、社会公益组织等</w:t>
      </w:r>
    </w:p>
    <w:p w14:paraId="5A8D1EC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职责：负责组织协调调配救护车、专家和卫生应急队伍等卫生资源，开展人员急救转运、救治和现场卫生防疫工作；组织协调卫生应急药品、器械等物资调配和质量监督管理工作。</w:t>
      </w:r>
    </w:p>
    <w:p w14:paraId="72E3B9B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3.治安保卫组</w:t>
      </w:r>
    </w:p>
    <w:p w14:paraId="2558D5D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牵头单位：向阳公安分局</w:t>
      </w:r>
    </w:p>
    <w:p w14:paraId="5C102E4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成员单位：突发事件所在街道办事处、突发事件所在单位</w:t>
      </w:r>
    </w:p>
    <w:p w14:paraId="73CD760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职责：负责突发事件现场治安警戒、人员疏散、秩序维护、交通疏导、社会调查工作，依法控制交通，保障应急救援高效有序进行。</w:t>
      </w:r>
    </w:p>
    <w:p w14:paraId="2C36930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4.后勤保障组</w:t>
      </w:r>
    </w:p>
    <w:p w14:paraId="44B390A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牵头单位：区应急局</w:t>
      </w:r>
    </w:p>
    <w:p w14:paraId="37C1C62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成员单位：区民政局、区卫健局、区城管局、向阳交警大队、通讯公司及突发事件所在单位</w:t>
      </w:r>
    </w:p>
    <w:p w14:paraId="1FDB1AA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抢险救援物资联系、供应、车辆及油料调配；为各级指挥人员、抢险人员提供生活保障；负责事故现场抢险物资存放与保管；开辟救援绿色通道，协助调集、征用救援车辆；保障救援现场无线通讯及设备完好、通信畅通。</w:t>
      </w:r>
    </w:p>
    <w:p w14:paraId="3399A49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5.环境监测组</w:t>
      </w:r>
    </w:p>
    <w:p w14:paraId="284C631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牵头单位：区应急指挥部协调市生态环境局</w:t>
      </w:r>
    </w:p>
    <w:p w14:paraId="158142B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成员单位：向阳生态环境局</w:t>
      </w:r>
    </w:p>
    <w:p w14:paraId="1AE9418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职责：负责突发事件现场大气、水质、土壤应急监测工作；根据监测结果及时提出事件防控建议及处置技术指导意见。</w:t>
      </w:r>
    </w:p>
    <w:p w14:paraId="0183596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6.宣传报道组</w:t>
      </w:r>
    </w:p>
    <w:p w14:paraId="2709358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牵头单位：区委宣传部</w:t>
      </w:r>
    </w:p>
    <w:p w14:paraId="2756907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成员单位：区卫健局、突发事件所在街道办事处、村屯</w:t>
      </w:r>
    </w:p>
    <w:p w14:paraId="3EF0510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职责：维护现场正常新闻采访秩序，及时做好新闻发布工作，正确引导媒体和公众舆论；完成应急指挥部交办的其他任务。</w:t>
      </w:r>
    </w:p>
    <w:p w14:paraId="2462239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7.善后处置组</w:t>
      </w:r>
    </w:p>
    <w:p w14:paraId="63FB70E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牵头单位：区应急指挥部</w:t>
      </w:r>
    </w:p>
    <w:p w14:paraId="402738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成员单位：区卫健局、向阳公安分局、区人社局、区司法局、区应急局、区民政局、区财政局、突发事件所在街道办事处、村屯</w:t>
      </w:r>
    </w:p>
    <w:p w14:paraId="3B9FB2F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职责：做好伤亡人员身份确认、救治、家属安抚、理赔，死亡人员尸体处理及有关善后工作；做好善后赔付资金的筹划和拨付工作；按照应急指挥部的要求组织事故调查和应急救援评估上报至市级审核。</w:t>
      </w:r>
    </w:p>
    <w:p w14:paraId="78A12A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8.应急工作组调整</w:t>
      </w:r>
    </w:p>
    <w:p w14:paraId="59E2DE9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应急指挥部根据需要调整应急工作组的设置和组成，各成员单位无条件服从，并按照依次接替的原则积极承担部门职责。</w:t>
      </w:r>
    </w:p>
    <w:p w14:paraId="6F8238A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19" w:name="bookmark10"/>
      <w:bookmarkEnd w:id="19"/>
      <w:bookmarkStart w:id="20" w:name="_Toc23311"/>
      <w:r>
        <w:rPr>
          <w:rFonts w:hint="default" w:ascii="Times New Roman" w:hAnsi="Times New Roman" w:eastAsia="楷体" w:cs="Times New Roman"/>
          <w:b w:val="0"/>
          <w:bCs w:val="0"/>
          <w:color w:val="auto"/>
          <w:spacing w:val="0"/>
          <w:sz w:val="32"/>
          <w:szCs w:val="32"/>
          <w:lang w:eastAsia="zh-CN"/>
        </w:rPr>
        <w:t>（四）专家组组成及职责</w:t>
      </w:r>
      <w:bookmarkEnd w:id="20"/>
    </w:p>
    <w:p w14:paraId="71C4F4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区卫健局聘请有关专家，组成突发公共卫生事件应急处置专家咨询委员会。</w:t>
      </w:r>
    </w:p>
    <w:p w14:paraId="2BF5FFC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color w:val="auto"/>
          <w:spacing w:val="0"/>
          <w:sz w:val="32"/>
          <w:szCs w:val="32"/>
          <w:lang w:eastAsia="zh-CN"/>
        </w:rPr>
        <w:t>主要职责：对突发公共卫生事件的分级以及采取相应的预防控制措施提出建议；对突发公共卫生事件应急准备提出咨询建议，参与制定、修订突发公共卫生事件应急预案和技术方案；对突发公共卫生事件的应急处置进行技术指导，必要时参加突发公共卫生事件的应急处置工作；对突发公共卫生事件应急响应的终止、后期评估提出咨询意见。</w:t>
      </w:r>
    </w:p>
    <w:p w14:paraId="1762EFC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1" w:name="bookmark11"/>
      <w:bookmarkEnd w:id="21"/>
      <w:bookmarkStart w:id="22" w:name="_Toc29668"/>
      <w:r>
        <w:rPr>
          <w:rFonts w:hint="default" w:ascii="Times New Roman" w:hAnsi="Times New Roman" w:eastAsia="楷体" w:cs="Times New Roman"/>
          <w:b w:val="0"/>
          <w:bCs w:val="0"/>
          <w:color w:val="auto"/>
          <w:spacing w:val="0"/>
          <w:sz w:val="32"/>
          <w:szCs w:val="32"/>
          <w:lang w:eastAsia="zh-CN"/>
        </w:rPr>
        <w:t>（五）应急联动机制</w:t>
      </w:r>
      <w:bookmarkEnd w:id="22"/>
    </w:p>
    <w:p w14:paraId="499587C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突发公共卫生事件应急指挥部对有关部门、各街道办事处、村屯的应急处理工作实施统一领导、统一指挥。有关部门、各街道办事处、村屯在突发公共卫生事件应急指挥部领导下，按照各自职责，开展应急处理。</w:t>
      </w:r>
    </w:p>
    <w:p w14:paraId="08859E2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突发公共卫生事件发生后，应急指挥部统一组织协调区内各级各类医疗机构参与医疗救治工作。需要市有关部门支援时，由应急指挥部报市应急指挥部，在市有关部门的指导下联合开展应急处理工作。</w:t>
      </w:r>
    </w:p>
    <w:p w14:paraId="09110A0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23" w:name="_Toc9619"/>
      <w:r>
        <w:rPr>
          <w:rFonts w:hint="default" w:ascii="Times New Roman" w:hAnsi="Times New Roman" w:eastAsia="黑体" w:cs="Times New Roman"/>
          <w:color w:val="auto"/>
          <w:spacing w:val="0"/>
          <w:sz w:val="32"/>
          <w:szCs w:val="32"/>
          <w:lang w:eastAsia="zh-CN"/>
        </w:rPr>
        <w:t>三、风险管控</w:t>
      </w:r>
      <w:bookmarkEnd w:id="23"/>
    </w:p>
    <w:p w14:paraId="6DB94E9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向阳区坚持“预防为主、常备不懈”的方针，通过系统性地识别、评估、控制和监控潜在风险，最大限度地降低突发事件发生的可能性及可能造成的损失，变被动应对为主动防范。</w:t>
      </w:r>
    </w:p>
    <w:p w14:paraId="790886E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4" w:name="_Toc107"/>
      <w:r>
        <w:rPr>
          <w:rFonts w:hint="default" w:ascii="Times New Roman" w:hAnsi="Times New Roman" w:eastAsia="楷体" w:cs="Times New Roman"/>
          <w:b w:val="0"/>
          <w:bCs w:val="0"/>
          <w:color w:val="auto"/>
          <w:spacing w:val="0"/>
          <w:sz w:val="32"/>
          <w:szCs w:val="32"/>
          <w:lang w:eastAsia="zh-CN"/>
        </w:rPr>
        <w:t>（一）风险识别与评估</w:t>
      </w:r>
      <w:bookmarkEnd w:id="24"/>
    </w:p>
    <w:p w14:paraId="572BADD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1.全面风险识别：</w:t>
      </w:r>
      <w:r>
        <w:rPr>
          <w:rFonts w:hint="eastAsia" w:ascii="仿宋" w:hAnsi="仿宋" w:eastAsia="仿宋" w:cs="仿宋"/>
          <w:color w:val="auto"/>
          <w:spacing w:val="0"/>
          <w:sz w:val="32"/>
          <w:szCs w:val="32"/>
          <w:lang w:eastAsia="zh-CN"/>
        </w:rPr>
        <w:t>区政府组织各专项应急指挥部、有关部门和街道办事处，依据本预案总则部分对自然灾害、事故灾难、公共卫生事件和社会安全事件的分析，结合辖区人口、产业、地理、气候等特点，定期开展全面风险调查。</w:t>
      </w:r>
    </w:p>
    <w:p w14:paraId="41BA242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2.识别范围：</w:t>
      </w:r>
      <w:r>
        <w:rPr>
          <w:rFonts w:hint="default" w:ascii="仿宋" w:hAnsi="仿宋" w:eastAsia="仿宋" w:cs="仿宋"/>
          <w:color w:val="auto"/>
          <w:spacing w:val="0"/>
          <w:sz w:val="32"/>
          <w:szCs w:val="32"/>
          <w:lang w:eastAsia="zh-CN"/>
        </w:rPr>
        <w:t>覆盖全区各行业、各领域、所有生产经营单位和社会生活环节，重点针对高层建筑、商业综合体、交通枢纽、危险化学品单位、人员密集场所、老旧小区、城市生命线工程（供水、供电、供气、通讯）以及松花江沿岸等重点区域和薄弱环节。</w:t>
      </w:r>
    </w:p>
    <w:p w14:paraId="1D097B0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3.识别方法：</w:t>
      </w:r>
      <w:r>
        <w:rPr>
          <w:rFonts w:hint="default" w:ascii="仿宋" w:hAnsi="仿宋" w:eastAsia="仿宋" w:cs="仿宋"/>
          <w:color w:val="auto"/>
          <w:spacing w:val="0"/>
          <w:sz w:val="32"/>
          <w:szCs w:val="32"/>
          <w:lang w:eastAsia="zh-CN"/>
        </w:rPr>
        <w:t>综合运用隐患排查、专家检查、舆情分析、案例复盘、公众反映等多种方式，动态更新风险源信息。</w:t>
      </w:r>
    </w:p>
    <w:p w14:paraId="0FC0ADD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4.科学风险评估：</w:t>
      </w:r>
      <w:r>
        <w:rPr>
          <w:rFonts w:hint="default" w:ascii="仿宋" w:hAnsi="仿宋" w:eastAsia="仿宋" w:cs="仿宋"/>
          <w:color w:val="auto"/>
          <w:spacing w:val="0"/>
          <w:sz w:val="32"/>
          <w:szCs w:val="32"/>
          <w:lang w:eastAsia="zh-CN"/>
        </w:rPr>
        <w:t>对识别出的风险进行分析评估，确定风险等级。</w:t>
      </w:r>
    </w:p>
    <w:p w14:paraId="6DDA71E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5.评估标准：</w:t>
      </w:r>
      <w:r>
        <w:rPr>
          <w:rFonts w:hint="default" w:ascii="仿宋" w:hAnsi="仿宋" w:eastAsia="仿宋" w:cs="仿宋"/>
          <w:color w:val="auto"/>
          <w:spacing w:val="0"/>
          <w:sz w:val="32"/>
          <w:szCs w:val="32"/>
          <w:lang w:eastAsia="zh-CN"/>
        </w:rPr>
        <w:t>采用定性与定量相结合的方法，从事件发生的可能性和后果的严重性两个维度，参照国家和行业标准，对风险进行综合研判。</w:t>
      </w:r>
    </w:p>
    <w:p w14:paraId="70500EA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6.风险分级：</w:t>
      </w:r>
      <w:r>
        <w:rPr>
          <w:rFonts w:hint="default" w:ascii="仿宋" w:hAnsi="仿宋" w:eastAsia="仿宋" w:cs="仿宋"/>
          <w:color w:val="auto"/>
          <w:spacing w:val="0"/>
          <w:sz w:val="32"/>
          <w:szCs w:val="32"/>
          <w:lang w:eastAsia="zh-CN"/>
        </w:rPr>
        <w:t>根据评估结果，将风险划分为重大风险、较大风险、一般风险和低风险四个等级，并建立《向阳区公共卫生安全</w:t>
      </w:r>
      <w:r>
        <w:rPr>
          <w:rFonts w:hint="default" w:ascii="仿宋" w:hAnsi="仿宋" w:eastAsia="仿宋" w:cs="仿宋"/>
          <w:color w:val="auto"/>
          <w:spacing w:val="0"/>
          <w:sz w:val="32"/>
          <w:szCs w:val="32"/>
          <w:lang w:eastAsia="zh-CN"/>
        </w:rPr>
        <w:t>风险分类分级清单》</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lang w:val="en-US" w:eastAsia="zh-CN" w:bidi="zh-CN"/>
        </w:rPr>
        <w:t>分类分级清单由行管部门填写，</w:t>
      </w:r>
      <w:r>
        <w:rPr>
          <w:rFonts w:hint="default" w:ascii="仿宋" w:hAnsi="仿宋" w:eastAsia="仿宋" w:cs="仿宋"/>
          <w:color w:val="auto"/>
          <w:spacing w:val="0"/>
          <w:sz w:val="32"/>
          <w:szCs w:val="32"/>
          <w:lang w:eastAsia="zh-CN"/>
        </w:rPr>
        <w:t>作为精准施策的依据。</w:t>
      </w:r>
    </w:p>
    <w:p w14:paraId="4A4FA40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5" w:name="_Toc13029"/>
      <w:r>
        <w:rPr>
          <w:rFonts w:hint="default" w:ascii="Times New Roman" w:hAnsi="Times New Roman" w:eastAsia="楷体" w:cs="Times New Roman"/>
          <w:b w:val="0"/>
          <w:bCs w:val="0"/>
          <w:color w:val="auto"/>
          <w:spacing w:val="0"/>
          <w:sz w:val="32"/>
          <w:szCs w:val="32"/>
          <w:lang w:eastAsia="zh-CN"/>
        </w:rPr>
        <w:t>（二）风险控制与治理</w:t>
      </w:r>
      <w:bookmarkEnd w:id="25"/>
    </w:p>
    <w:p w14:paraId="6C54FF7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根据风险评估结果，实行风险分级管控，采取以下针对性控制措施，优先级从高到低依次为：</w:t>
      </w:r>
    </w:p>
    <w:p w14:paraId="13D8ED9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1.消除风险：</w:t>
      </w:r>
      <w:r>
        <w:rPr>
          <w:rFonts w:hint="default" w:ascii="仿宋" w:hAnsi="仿宋" w:eastAsia="仿宋" w:cs="仿宋"/>
          <w:color w:val="auto"/>
          <w:spacing w:val="0"/>
          <w:sz w:val="32"/>
          <w:szCs w:val="32"/>
          <w:lang w:eastAsia="zh-CN"/>
        </w:rPr>
        <w:t>优化城市规划布局和产业政策，从源头上消除重大风险。对无法消除的重大危险源，鼓励采用先进工艺、安全材料进行替代。</w:t>
      </w:r>
    </w:p>
    <w:p w14:paraId="041F9BC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2.技术控制：</w:t>
      </w:r>
      <w:r>
        <w:rPr>
          <w:rFonts w:hint="default" w:ascii="仿宋" w:hAnsi="仿宋" w:eastAsia="仿宋" w:cs="仿宋"/>
          <w:color w:val="auto"/>
          <w:spacing w:val="0"/>
          <w:sz w:val="32"/>
          <w:szCs w:val="32"/>
          <w:lang w:eastAsia="zh-CN"/>
        </w:rPr>
        <w:t>在重点单位、重点场所和重要设施中，加强安全设施建设，如安全监控报警装置等，提升物防技防水平。</w:t>
      </w:r>
    </w:p>
    <w:p w14:paraId="4BA8575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3.管理控制：</w:t>
      </w:r>
      <w:r>
        <w:rPr>
          <w:rFonts w:hint="default" w:ascii="仿宋" w:hAnsi="仿宋" w:eastAsia="仿宋" w:cs="仿宋"/>
          <w:color w:val="auto"/>
          <w:spacing w:val="0"/>
          <w:sz w:val="32"/>
          <w:szCs w:val="32"/>
          <w:lang w:eastAsia="zh-CN"/>
        </w:rPr>
        <w:t>各行业主管部门、企事业单位和基层单位应建立健全安全管理制度、操作规程和应急预案。</w:t>
      </w:r>
    </w:p>
    <w:p w14:paraId="142C99D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4.分级负责：</w:t>
      </w:r>
      <w:r>
        <w:rPr>
          <w:rFonts w:hint="default" w:ascii="仿宋" w:hAnsi="仿宋" w:eastAsia="仿宋" w:cs="仿宋"/>
          <w:color w:val="auto"/>
          <w:spacing w:val="0"/>
          <w:sz w:val="32"/>
          <w:szCs w:val="32"/>
          <w:lang w:eastAsia="zh-CN"/>
        </w:rPr>
        <w:t>落实属地管理和行业监管责任。重大风险由区政府</w:t>
      </w:r>
      <w:r>
        <w:rPr>
          <w:rFonts w:hint="default" w:ascii="仿宋" w:hAnsi="仿宋" w:eastAsia="仿宋" w:cs="仿宋"/>
          <w:color w:val="auto"/>
          <w:spacing w:val="0"/>
          <w:sz w:val="32"/>
          <w:szCs w:val="32"/>
          <w:lang w:eastAsia="zh-CN"/>
        </w:rPr>
        <w:t>和区</w:t>
      </w:r>
      <w:r>
        <w:rPr>
          <w:rFonts w:hint="eastAsia" w:ascii="仿宋" w:hAnsi="仿宋" w:eastAsia="仿宋" w:cs="仿宋"/>
          <w:color w:val="auto"/>
          <w:spacing w:val="0"/>
          <w:sz w:val="32"/>
          <w:szCs w:val="32"/>
          <w:lang w:eastAsia="zh-CN"/>
        </w:rPr>
        <w:t>行业</w:t>
      </w:r>
      <w:r>
        <w:rPr>
          <w:rFonts w:hint="default" w:ascii="仿宋" w:hAnsi="仿宋" w:eastAsia="仿宋" w:cs="仿宋"/>
          <w:color w:val="auto"/>
          <w:spacing w:val="0"/>
          <w:sz w:val="32"/>
          <w:szCs w:val="32"/>
          <w:lang w:eastAsia="zh-CN"/>
        </w:rPr>
        <w:t>主管部门重点管控；较大及一般风险由各街道办事处发现后上报，由相关部门负责监管，各街道办事处负责配合相关部门做好问题处置或临时性处置措施，跟踪后期整改，对整改不到位或拒不整改的配合相关部门联合执法；企事业单位落实主体责任，管控本单位风险。</w:t>
      </w:r>
    </w:p>
    <w:p w14:paraId="0E1603F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5.隐患排查：</w:t>
      </w:r>
      <w:r>
        <w:rPr>
          <w:rFonts w:hint="default" w:ascii="仿宋" w:hAnsi="仿宋" w:eastAsia="仿宋" w:cs="仿宋"/>
          <w:color w:val="auto"/>
          <w:spacing w:val="0"/>
          <w:sz w:val="32"/>
          <w:szCs w:val="32"/>
          <w:lang w:eastAsia="zh-CN"/>
        </w:rPr>
        <w:t>建立常态化隐患排查治理机制，对发现的隐患建立台账，明确责任，限期整改，实现闭环管理。</w:t>
      </w:r>
    </w:p>
    <w:p w14:paraId="7DA35CD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6.应急准备：</w:t>
      </w:r>
      <w:r>
        <w:rPr>
          <w:rFonts w:hint="default" w:ascii="仿宋" w:hAnsi="仿宋" w:eastAsia="仿宋" w:cs="仿宋"/>
          <w:color w:val="auto"/>
          <w:spacing w:val="0"/>
          <w:sz w:val="32"/>
          <w:szCs w:val="32"/>
          <w:lang w:eastAsia="zh-CN"/>
        </w:rPr>
        <w:t>对于无法彻底消除的风险，通过编制应急预案、储备应急物资、加强应急演练、建设应急队伍等措施，做好应急准备，降低事件发生后的损失。</w:t>
      </w:r>
    </w:p>
    <w:p w14:paraId="7F2EA2B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b/>
          <w:bCs/>
          <w:color w:val="auto"/>
          <w:spacing w:val="0"/>
          <w:sz w:val="32"/>
          <w:szCs w:val="32"/>
          <w:lang w:eastAsia="zh-CN"/>
        </w:rPr>
        <w:t>7.宣传与培训：</w:t>
      </w:r>
      <w:r>
        <w:rPr>
          <w:rFonts w:hint="default" w:ascii="仿宋" w:hAnsi="仿宋" w:eastAsia="仿宋" w:cs="仿宋"/>
          <w:color w:val="auto"/>
          <w:spacing w:val="0"/>
          <w:sz w:val="32"/>
          <w:szCs w:val="32"/>
          <w:lang w:eastAsia="zh-CN"/>
        </w:rPr>
        <w:t>加强公共安全宣传教育，普及风险防范、避险逃生、自救互救知识和技能，增强全社会风险意识和应对能力。</w:t>
      </w:r>
    </w:p>
    <w:p w14:paraId="3B24257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6" w:name="_Toc23141"/>
      <w:r>
        <w:rPr>
          <w:rFonts w:hint="default" w:ascii="Times New Roman" w:hAnsi="Times New Roman" w:eastAsia="楷体" w:cs="Times New Roman"/>
          <w:b w:val="0"/>
          <w:bCs w:val="0"/>
          <w:color w:val="auto"/>
          <w:spacing w:val="0"/>
          <w:sz w:val="32"/>
          <w:szCs w:val="32"/>
          <w:lang w:eastAsia="zh-CN"/>
        </w:rPr>
        <w:t>（三）监控与更新</w:t>
      </w:r>
      <w:bookmarkEnd w:id="26"/>
    </w:p>
    <w:p w14:paraId="74BDEC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Times New Roman" w:hAnsi="Times New Roman" w:eastAsia="仿宋_GB2312" w:cs="Times New Roman"/>
          <w:color w:val="auto"/>
          <w:spacing w:val="0"/>
          <w:sz w:val="32"/>
          <w:szCs w:val="32"/>
          <w:lang w:eastAsia="zh-CN"/>
        </w:rPr>
      </w:pPr>
      <w:r>
        <w:rPr>
          <w:rFonts w:hint="eastAsia" w:ascii="仿宋" w:hAnsi="仿宋" w:eastAsia="仿宋" w:cs="仿宋"/>
          <w:b/>
          <w:bCs/>
          <w:color w:val="auto"/>
          <w:spacing w:val="0"/>
          <w:sz w:val="32"/>
          <w:szCs w:val="32"/>
          <w:lang w:eastAsia="zh-CN"/>
        </w:rPr>
        <w:t>1.动态监测：</w:t>
      </w:r>
      <w:r>
        <w:rPr>
          <w:rFonts w:hint="eastAsia" w:ascii="仿宋" w:hAnsi="仿宋" w:eastAsia="仿宋" w:cs="仿宋"/>
          <w:color w:val="auto"/>
          <w:spacing w:val="0"/>
          <w:sz w:val="32"/>
          <w:szCs w:val="32"/>
          <w:lang w:eastAsia="zh-CN"/>
        </w:rPr>
        <w:t>利用物联网、大数据等现代信息技术，对重大风险和重点危险源进行动态监测和跟踪。各有关部门应定期对职责范围内的风险管控措施落实情况进行监督检查。</w:t>
      </w:r>
    </w:p>
    <w:p w14:paraId="35277D3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2.定期评审：</w:t>
      </w:r>
      <w:r>
        <w:rPr>
          <w:rFonts w:hint="default" w:ascii="仿宋" w:hAnsi="仿宋" w:eastAsia="仿宋" w:cs="仿宋"/>
          <w:color w:val="auto"/>
          <w:spacing w:val="0"/>
          <w:sz w:val="32"/>
          <w:szCs w:val="32"/>
          <w:lang w:eastAsia="zh-CN"/>
        </w:rPr>
        <w:t>建立风险动态评估机制。区政府定期组织全区风险形势分析会商。当出现法律法规变化、城市规划调整、产业结构升级、重要设施建设等情形时，应及时组织重新评估，更新风险清单与管控措施。</w:t>
      </w:r>
    </w:p>
    <w:p w14:paraId="46FA706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27" w:name="bookmark12"/>
      <w:bookmarkEnd w:id="27"/>
      <w:bookmarkStart w:id="28" w:name="_Toc20303"/>
      <w:r>
        <w:rPr>
          <w:rFonts w:hint="default" w:ascii="Times New Roman" w:hAnsi="Times New Roman" w:eastAsia="黑体" w:cs="Times New Roman"/>
          <w:color w:val="auto"/>
          <w:spacing w:val="0"/>
          <w:sz w:val="32"/>
          <w:szCs w:val="32"/>
          <w:lang w:eastAsia="zh-CN"/>
        </w:rPr>
        <w:t>四、预防与预警机制</w:t>
      </w:r>
      <w:bookmarkEnd w:id="28"/>
    </w:p>
    <w:p w14:paraId="10B6203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29" w:name="bookmark13"/>
      <w:bookmarkEnd w:id="29"/>
      <w:bookmarkStart w:id="30" w:name="_Toc30143"/>
      <w:r>
        <w:rPr>
          <w:rFonts w:hint="default" w:ascii="Times New Roman" w:hAnsi="Times New Roman" w:eastAsia="楷体" w:cs="Times New Roman"/>
          <w:b w:val="0"/>
          <w:bCs w:val="0"/>
          <w:color w:val="auto"/>
          <w:spacing w:val="0"/>
          <w:sz w:val="32"/>
          <w:szCs w:val="32"/>
          <w:lang w:eastAsia="zh-CN"/>
        </w:rPr>
        <w:t>（一）信息监测</w:t>
      </w:r>
      <w:bookmarkEnd w:id="30"/>
    </w:p>
    <w:p w14:paraId="35FDC14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突发公共卫生事件的信息监测主要由区卫健局负责。</w:t>
      </w:r>
    </w:p>
    <w:p w14:paraId="62EDAE7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color w:val="auto"/>
          <w:spacing w:val="0"/>
          <w:sz w:val="32"/>
          <w:szCs w:val="32"/>
          <w:lang w:eastAsia="zh-CN"/>
        </w:rPr>
        <w:t>区卫健局要按照国家、省、市统一规定和要求，结合实际，组织开展重点传染病和突发公共卫生事件的主动监测，包括：自然疫源性疾病疫情监测、自然灾害发生地区的重点传染病和卫生事件监测、主要症状和重点疾病的医院哨点监测等。要加强对监测工作管理和监督，保证监测质量。</w:t>
      </w:r>
    </w:p>
    <w:p w14:paraId="534A0E7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1" w:name="bookmark14"/>
      <w:bookmarkEnd w:id="31"/>
      <w:bookmarkStart w:id="32" w:name="_Toc23699"/>
      <w:r>
        <w:rPr>
          <w:rFonts w:hint="default" w:ascii="Times New Roman" w:hAnsi="Times New Roman" w:eastAsia="楷体" w:cs="Times New Roman"/>
          <w:b w:val="0"/>
          <w:bCs w:val="0"/>
          <w:color w:val="auto"/>
          <w:spacing w:val="0"/>
          <w:sz w:val="32"/>
          <w:szCs w:val="32"/>
          <w:lang w:eastAsia="zh-CN"/>
        </w:rPr>
        <w:t>（二）预警</w:t>
      </w:r>
      <w:bookmarkEnd w:id="32"/>
    </w:p>
    <w:p w14:paraId="5B1A279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1.确定预警级别</w:t>
      </w:r>
    </w:p>
    <w:p w14:paraId="156E0B2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根据各类突发公共卫生事件的危害程度、紧急程度和发展态势，由区卫健局综合评估确定预警级别或向应急指挥部提出预警级别的建议。</w:t>
      </w:r>
    </w:p>
    <w:p w14:paraId="39AE80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预警级别分为Ⅰ级（特别</w:t>
      </w:r>
      <w:r>
        <w:rPr>
          <w:rFonts w:hint="eastAsia" w:ascii="仿宋" w:hAnsi="仿宋" w:eastAsia="仿宋" w:cs="仿宋"/>
          <w:color w:val="auto"/>
          <w:spacing w:val="0"/>
          <w:sz w:val="32"/>
          <w:szCs w:val="32"/>
          <w:lang w:eastAsia="zh-CN"/>
        </w:rPr>
        <w:t>重大</w:t>
      </w:r>
      <w:r>
        <w:rPr>
          <w:rFonts w:hint="default" w:ascii="仿宋" w:hAnsi="仿宋" w:eastAsia="仿宋" w:cs="仿宋"/>
          <w:color w:val="auto"/>
          <w:spacing w:val="0"/>
          <w:sz w:val="32"/>
          <w:szCs w:val="32"/>
          <w:lang w:eastAsia="zh-CN"/>
        </w:rPr>
        <w:t>）、Ⅱ级（</w:t>
      </w:r>
      <w:r>
        <w:rPr>
          <w:rFonts w:hint="eastAsia" w:ascii="仿宋" w:hAnsi="仿宋" w:eastAsia="仿宋" w:cs="仿宋"/>
          <w:color w:val="auto"/>
          <w:spacing w:val="0"/>
          <w:sz w:val="32"/>
          <w:szCs w:val="32"/>
          <w:lang w:eastAsia="zh-CN"/>
        </w:rPr>
        <w:t>重大</w:t>
      </w:r>
      <w:r>
        <w:rPr>
          <w:rFonts w:hint="default" w:ascii="仿宋" w:hAnsi="仿宋" w:eastAsia="仿宋" w:cs="仿宋"/>
          <w:color w:val="auto"/>
          <w:spacing w:val="0"/>
          <w:sz w:val="32"/>
          <w:szCs w:val="32"/>
          <w:lang w:eastAsia="zh-CN"/>
        </w:rPr>
        <w:t>）、Ⅲ级（较</w:t>
      </w:r>
      <w:r>
        <w:rPr>
          <w:rFonts w:hint="eastAsia" w:ascii="仿宋" w:hAnsi="仿宋" w:eastAsia="仿宋" w:cs="仿宋"/>
          <w:color w:val="auto"/>
          <w:spacing w:val="0"/>
          <w:sz w:val="32"/>
          <w:szCs w:val="32"/>
          <w:lang w:eastAsia="zh-CN"/>
        </w:rPr>
        <w:t>大</w:t>
      </w:r>
      <w:r>
        <w:rPr>
          <w:rFonts w:hint="default" w:ascii="仿宋" w:hAnsi="仿宋" w:eastAsia="仿宋" w:cs="仿宋"/>
          <w:color w:val="auto"/>
          <w:spacing w:val="0"/>
          <w:sz w:val="32"/>
          <w:szCs w:val="32"/>
          <w:lang w:eastAsia="zh-CN"/>
        </w:rPr>
        <w:t>）、Ⅳ级（一般）四个等级，分别用红、橙、黄、蓝四种颜色表示。</w:t>
      </w:r>
    </w:p>
    <w:p w14:paraId="767A1F9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2.发布预警信息</w:t>
      </w:r>
    </w:p>
    <w:p w14:paraId="461ABA9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特别重大（Ⅰ级，红色）预警，由国家发布或经省突发公共卫生事件应急指挥中心请示国家后，由省长签发；</w:t>
      </w:r>
    </w:p>
    <w:p w14:paraId="0A764CC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重大（Ⅱ级，橙色）预警，由担任省突发公共卫生事件应急指挥中心总指挥的分管副省长请示省长后签发；</w:t>
      </w:r>
    </w:p>
    <w:p w14:paraId="776CB1D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较大（Ⅲ级，黄色）预警，由市突发公共卫生事件应急指挥中心请示省突发公共卫生事件应急指挥中心后发布；</w:t>
      </w:r>
    </w:p>
    <w:p w14:paraId="1FEFFB8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一般（Ⅳ级，蓝色）预警，由向阳区突发公共卫生事件应急指挥部请示市突发公共卫生事件应急指挥中心后发布。</w:t>
      </w:r>
    </w:p>
    <w:p w14:paraId="5491ED5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预警信息内容：突发公共卫生事件的类别、预警级别、起始时间、可能影响范围、警示事项、应采取的措施和发布机关等。</w:t>
      </w:r>
    </w:p>
    <w:p w14:paraId="7D4C223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3.采取预警措施</w:t>
      </w:r>
    </w:p>
    <w:p w14:paraId="6CCA57F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发布预警信息后，根据实际情况和分级负责的原则，采取下列一项或多项措施。</w:t>
      </w:r>
    </w:p>
    <w:p w14:paraId="299EC9C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Ⅲ级、Ⅳ级预警发布后，</w:t>
      </w:r>
      <w:r>
        <w:rPr>
          <w:rFonts w:hint="eastAsia" w:ascii="仿宋" w:hAnsi="仿宋" w:eastAsia="仿宋" w:cs="仿宋"/>
          <w:b/>
          <w:bCs/>
          <w:color w:val="auto"/>
          <w:spacing w:val="0"/>
          <w:sz w:val="32"/>
          <w:szCs w:val="32"/>
          <w:lang w:eastAsia="zh-CN"/>
        </w:rPr>
        <w:t>应急指挥部</w:t>
      </w:r>
      <w:r>
        <w:rPr>
          <w:rFonts w:hint="default" w:ascii="仿宋" w:hAnsi="仿宋" w:eastAsia="仿宋" w:cs="仿宋"/>
          <w:b/>
          <w:bCs/>
          <w:color w:val="auto"/>
          <w:spacing w:val="0"/>
          <w:sz w:val="32"/>
          <w:szCs w:val="32"/>
          <w:lang w:eastAsia="zh-CN"/>
        </w:rPr>
        <w:t>采取以下措施：</w:t>
      </w:r>
    </w:p>
    <w:p w14:paraId="4BAE84D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（1）启动应急工作机制，应急指挥部加强部门联防联控；</w:t>
      </w:r>
    </w:p>
    <w:p w14:paraId="012A3D5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（2）责令有关部门、专业机构做好事件相关信息监测，预测、评估事件发展趋势；</w:t>
      </w:r>
    </w:p>
    <w:p w14:paraId="4C80E0C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（3）公布热线电话、电子邮箱等公众沟通渠道，安排专业人员值守，加强健康教育和心理干预；</w:t>
      </w:r>
    </w:p>
    <w:p w14:paraId="073C949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（4）及时发布避免、减轻事件危害的科学常识和人民政府处理事件的相关信息；</w:t>
      </w:r>
    </w:p>
    <w:p w14:paraId="3A1CC5F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（5）监测管理社会舆情，引导社会舆论，疏导公众情绪。</w:t>
      </w:r>
    </w:p>
    <w:p w14:paraId="7CE434A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Ⅰ、Ⅱ级预警发布后，在Ⅲ级、Ⅳ级预警措施的基础上，采取以下措施：</w:t>
      </w:r>
    </w:p>
    <w:p w14:paraId="59C5D2C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（1）责令卫生应急队伍进入紧急状态，动员后备队伍做好应急准备；</w:t>
      </w:r>
    </w:p>
    <w:p w14:paraId="1533CE9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（2）发布各级卫生应急物资储备动员指令，检查调试有关物资、设备；</w:t>
      </w:r>
    </w:p>
    <w:p w14:paraId="7F888C4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（3）采取停课或停止大型公共活动等强制管控措施；</w:t>
      </w:r>
    </w:p>
    <w:p w14:paraId="347B814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（4）发布旅游警告；</w:t>
      </w:r>
    </w:p>
    <w:p w14:paraId="011C2F4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（5）必要情况采取交通卫生检疫；</w:t>
      </w:r>
    </w:p>
    <w:p w14:paraId="314E9B7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（6）请求市、省级突发公共卫生事件应急队伍支援。</w:t>
      </w:r>
    </w:p>
    <w:p w14:paraId="2FB035C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4.预警级别调整与解除</w:t>
      </w:r>
    </w:p>
    <w:p w14:paraId="160BBBB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预警信息发布后，区卫健局要密切跟踪评估突发公共卫生事件进展，及时向区政府、市卫生健康委提出调整或解除预警的建议。</w:t>
      </w:r>
    </w:p>
    <w:p w14:paraId="5B2D485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区卫健局认为调整或解除预警的，应向区政府、市卫生健康委报告，并及时向社会发布。</w:t>
      </w:r>
    </w:p>
    <w:p w14:paraId="733C0BA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3" w:name="bookmark15"/>
      <w:bookmarkEnd w:id="33"/>
      <w:bookmarkStart w:id="34" w:name="_Toc7322"/>
      <w:r>
        <w:rPr>
          <w:rFonts w:hint="default" w:ascii="Times New Roman" w:hAnsi="Times New Roman" w:eastAsia="楷体" w:cs="Times New Roman"/>
          <w:b w:val="0"/>
          <w:bCs w:val="0"/>
          <w:color w:val="auto"/>
          <w:spacing w:val="0"/>
          <w:sz w:val="32"/>
          <w:szCs w:val="32"/>
          <w:lang w:eastAsia="zh-CN"/>
        </w:rPr>
        <w:t>（三）信息报告</w:t>
      </w:r>
      <w:bookmarkEnd w:id="34"/>
    </w:p>
    <w:p w14:paraId="6198CF8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任何单位和个人有权向国务院卫健局和地方各级政府及其有关部门报告突发公共卫生事件及其隐患，也有权向上级政府部门举报不履行或者不按照规定履行突发公共卫生事件应急处理职责的部门、单位及个人。</w:t>
      </w:r>
    </w:p>
    <w:p w14:paraId="3E5D51D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1.责任报告单位</w:t>
      </w:r>
    </w:p>
    <w:p w14:paraId="1D18A37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（1）卫生健康行政部门指定的突发公共卫生事件监测机构；</w:t>
      </w:r>
    </w:p>
    <w:p w14:paraId="5544766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（2）各级各类医疗卫生机构；</w:t>
      </w:r>
    </w:p>
    <w:p w14:paraId="3E7E592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（3）区卫健局；</w:t>
      </w:r>
    </w:p>
    <w:p w14:paraId="102E246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（4）区人民政府；</w:t>
      </w:r>
    </w:p>
    <w:p w14:paraId="5538307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（5）有关单位，主要包括突发公共卫生事件发生单位、与群众健康和卫生保健工作有密切关系的机构，如食品药品监督检验机构、环境保护监测机构、教育机构等。</w:t>
      </w:r>
    </w:p>
    <w:p w14:paraId="67A8B21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2.责任报告人</w:t>
      </w:r>
    </w:p>
    <w:p w14:paraId="4DC4897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执行职务的各级各类医疗卫生机构的医疗卫生人员、个体开业医生和责任报告单位的相关工作人员。</w:t>
      </w:r>
    </w:p>
    <w:p w14:paraId="07DAC97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3.报告时限和程序</w:t>
      </w:r>
    </w:p>
    <w:p w14:paraId="6F7094C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卫健局应在接到报告1小时内向区突发公共卫生事件应急指挥部办公室报告，并同时向市卫生健康委报告，并立即组织进行现场调查确认，及时采取必要措施，随时报告调查情况和事态进展情况。区政府应当在接到报告后2小时内向市政府报告。发生</w:t>
      </w:r>
      <w:r>
        <w:rPr>
          <w:rFonts w:hint="eastAsia" w:ascii="仿宋" w:hAnsi="仿宋" w:eastAsia="仿宋" w:cs="仿宋"/>
          <w:color w:val="auto"/>
          <w:spacing w:val="0"/>
          <w:sz w:val="32"/>
          <w:szCs w:val="32"/>
          <w:lang w:eastAsia="zh-CN"/>
        </w:rPr>
        <w:t>重大及其以上</w:t>
      </w:r>
      <w:r>
        <w:rPr>
          <w:rFonts w:hint="default" w:ascii="仿宋" w:hAnsi="仿宋" w:eastAsia="仿宋" w:cs="仿宋"/>
          <w:color w:val="auto"/>
          <w:spacing w:val="0"/>
          <w:sz w:val="32"/>
          <w:szCs w:val="32"/>
          <w:lang w:eastAsia="zh-CN"/>
        </w:rPr>
        <w:t>突发公共卫生事件，区政府、区卫健局要立即向市政府、市卫生健康委报告突发公共卫生事件信息，不得迟报、谎报、瞒报和漏报，同时通报有关地区和部门。</w:t>
      </w:r>
    </w:p>
    <w:p w14:paraId="4D08845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涉及港澳台侨、外籍人员，或影响到境外的突发公共卫生事件，或境外涉及向阳区的突发公共卫生事件，需要向有关国家、地区、国际组织通报的，按照有关规定办理。</w:t>
      </w:r>
    </w:p>
    <w:p w14:paraId="5ACAB72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4.报告内容</w:t>
      </w:r>
    </w:p>
    <w:p w14:paraId="2DE23FE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突发公共卫生事件报告分为首次报告、进程报告和结案报告，要根据事件的严重程度、事态发展和控制情况及时报告事件进程。</w:t>
      </w:r>
    </w:p>
    <w:p w14:paraId="5BBAFCE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首次报告未经调查确认的突发公共卫生事件或存在隐患的相关信息</w:t>
      </w:r>
      <w:r>
        <w:rPr>
          <w:rFonts w:hint="eastAsia" w:ascii="仿宋" w:hAnsi="仿宋" w:eastAsia="仿宋" w:cs="仿宋"/>
          <w:b/>
          <w:bCs/>
          <w:color w:val="auto"/>
          <w:spacing w:val="0"/>
          <w:sz w:val="32"/>
          <w:szCs w:val="32"/>
          <w:lang w:eastAsia="zh-CN"/>
        </w:rPr>
        <w:t>：</w:t>
      </w:r>
      <w:r>
        <w:rPr>
          <w:rFonts w:hint="default" w:ascii="仿宋" w:hAnsi="仿宋" w:eastAsia="仿宋" w:cs="仿宋"/>
          <w:color w:val="auto"/>
          <w:spacing w:val="0"/>
          <w:sz w:val="32"/>
          <w:szCs w:val="32"/>
          <w:lang w:eastAsia="zh-CN"/>
        </w:rPr>
        <w:t>时间、地点、信息来源、危害范围、事件性质的初步判定和拟采取的主要措施。</w:t>
      </w:r>
    </w:p>
    <w:p w14:paraId="2F84FE4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经调查确认的突发公共卫生事件报告</w:t>
      </w:r>
      <w:r>
        <w:rPr>
          <w:rFonts w:hint="eastAsia" w:ascii="仿宋" w:hAnsi="仿宋" w:eastAsia="仿宋" w:cs="仿宋"/>
          <w:b/>
          <w:bCs/>
          <w:color w:val="auto"/>
          <w:spacing w:val="0"/>
          <w:sz w:val="32"/>
          <w:szCs w:val="32"/>
          <w:lang w:eastAsia="zh-CN"/>
        </w:rPr>
        <w:t>：</w:t>
      </w:r>
      <w:r>
        <w:rPr>
          <w:rFonts w:hint="default" w:ascii="仿宋" w:hAnsi="仿宋" w:eastAsia="仿宋" w:cs="仿宋"/>
          <w:color w:val="auto"/>
          <w:spacing w:val="0"/>
          <w:sz w:val="32"/>
          <w:szCs w:val="32"/>
          <w:lang w:eastAsia="zh-CN"/>
        </w:rPr>
        <w:t>事件性质、波及范围、危害程度、流行病学分布、事态评估、控制措施等内容。</w:t>
      </w:r>
    </w:p>
    <w:p w14:paraId="1C1C249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5.突发公共卫生事件网络直报</w:t>
      </w:r>
    </w:p>
    <w:p w14:paraId="7EB4882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医疗机构和基层卫生院可直接通过互联网的专用系统报告突发公共卫生事件，提高信息报告的及时性。</w:t>
      </w:r>
    </w:p>
    <w:p w14:paraId="6ED8FF9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35" w:name="bookmark16"/>
      <w:bookmarkEnd w:id="35"/>
      <w:bookmarkStart w:id="36" w:name="_Toc13865"/>
      <w:r>
        <w:rPr>
          <w:rFonts w:hint="default" w:ascii="Times New Roman" w:hAnsi="Times New Roman" w:eastAsia="黑体" w:cs="Times New Roman"/>
          <w:color w:val="auto"/>
          <w:spacing w:val="0"/>
          <w:sz w:val="32"/>
          <w:szCs w:val="32"/>
          <w:lang w:eastAsia="zh-CN"/>
        </w:rPr>
        <w:t>五、应急处置</w:t>
      </w:r>
      <w:bookmarkEnd w:id="36"/>
    </w:p>
    <w:p w14:paraId="15D2043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7" w:name="bookmark17"/>
      <w:bookmarkEnd w:id="37"/>
      <w:bookmarkStart w:id="38" w:name="_Toc30465"/>
      <w:r>
        <w:rPr>
          <w:rFonts w:hint="default" w:ascii="Times New Roman" w:hAnsi="Times New Roman" w:eastAsia="楷体" w:cs="Times New Roman"/>
          <w:b w:val="0"/>
          <w:bCs w:val="0"/>
          <w:color w:val="auto"/>
          <w:spacing w:val="0"/>
          <w:sz w:val="32"/>
          <w:szCs w:val="32"/>
          <w:lang w:eastAsia="zh-CN"/>
        </w:rPr>
        <w:t>（一）应急响应原则</w:t>
      </w:r>
      <w:bookmarkEnd w:id="38"/>
    </w:p>
    <w:p w14:paraId="34F8B3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发生突发公共卫生事件时，事发地街道办事处、村屯及有关部门按照分级响应的原则做出应急响应。遵循突发公共卫生事件发生发展的客观规律，根据不同类别卫生事件的性质和特点，及时调整预警和反应级别。</w:t>
      </w:r>
    </w:p>
    <w:p w14:paraId="440684A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根据不同类别卫生事件的性质和特点，注重分析事件的发展趋势，对事态和影响不断扩大的事件，应及时升级预警和响应级别。对范围局限、不会进一步扩散的事件，应相应降低响应级别，及时撤销预警。</w:t>
      </w:r>
    </w:p>
    <w:p w14:paraId="491CC50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各街道办事处、村屯及有关部门对发生在学校、居民区、人群聚集地、地区性或全国、全省重要活动期间的突发公共卫生事件要高度重视</w:t>
      </w:r>
      <w:r>
        <w:rPr>
          <w:rFonts w:hint="eastAsia" w:ascii="仿宋" w:hAnsi="仿宋" w:eastAsia="仿宋" w:cs="仿宋"/>
          <w:color w:val="auto"/>
          <w:spacing w:val="0"/>
          <w:sz w:val="32"/>
          <w:szCs w:val="32"/>
          <w:lang w:eastAsia="zh-CN"/>
        </w:rPr>
        <w:t>，</w:t>
      </w:r>
      <w:r>
        <w:rPr>
          <w:rFonts w:hint="default" w:ascii="仿宋" w:hAnsi="仿宋" w:eastAsia="仿宋" w:cs="仿宋"/>
          <w:color w:val="auto"/>
          <w:spacing w:val="0"/>
          <w:sz w:val="32"/>
          <w:szCs w:val="32"/>
          <w:lang w:eastAsia="zh-CN"/>
        </w:rPr>
        <w:t>提高报告和响应级别，确保迅速、有效控制突发公共卫生事件，维护社会稳定。</w:t>
      </w:r>
    </w:p>
    <w:p w14:paraId="6FBF71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突发公共卫生事件应急处理中采取调查、处理、抢救、核实同步进行的方式，以有效措施控制事态发展。</w:t>
      </w:r>
    </w:p>
    <w:p w14:paraId="1E7C25F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接到突发公共卫生事件情况通报后，区卫健局要及时通知相应的医疗卫生机构，组织做好应急处置所需的人员与物资准备，采取必要的预防控制措施，防止突发公共卫生事件在本行政区域内发生或者扩大，并服从市卫生健康委的统一指挥和调度，支援突发公共卫生事件发生地区的应急处置工作。</w:t>
      </w:r>
    </w:p>
    <w:p w14:paraId="1BC99D1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39" w:name="bookmark18"/>
      <w:bookmarkEnd w:id="39"/>
      <w:bookmarkStart w:id="40" w:name="_Toc31900"/>
      <w:r>
        <w:rPr>
          <w:rFonts w:hint="default" w:ascii="Times New Roman" w:hAnsi="Times New Roman" w:eastAsia="楷体" w:cs="Times New Roman"/>
          <w:b w:val="0"/>
          <w:bCs w:val="0"/>
          <w:color w:val="auto"/>
          <w:spacing w:val="0"/>
          <w:sz w:val="32"/>
          <w:szCs w:val="32"/>
          <w:lang w:eastAsia="zh-CN"/>
        </w:rPr>
        <w:t>（二）突发公共卫生事件分级标准</w:t>
      </w:r>
      <w:bookmarkEnd w:id="40"/>
    </w:p>
    <w:p w14:paraId="209C812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根据突发公共卫生事件性质、危害程度、涉及范围，将突发公共卫生事件划分为特别重大（Ⅰ级）、重大（Ⅱ级）、较大（Ⅲ级）和一般（Ⅳ级）四级。</w:t>
      </w:r>
    </w:p>
    <w:p w14:paraId="2F1484E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1.特别重大突发公共卫生事件（I级）</w:t>
      </w:r>
    </w:p>
    <w:p w14:paraId="413C28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b w:val="0"/>
          <w:bCs w:val="0"/>
          <w:color w:val="auto"/>
          <w:spacing w:val="0"/>
          <w:sz w:val="32"/>
          <w:szCs w:val="32"/>
          <w:lang w:eastAsia="zh-CN"/>
        </w:rPr>
      </w:pPr>
      <w:r>
        <w:rPr>
          <w:rFonts w:hint="default" w:ascii="仿宋" w:hAnsi="仿宋" w:eastAsia="仿宋" w:cs="仿宋"/>
          <w:b w:val="0"/>
          <w:bCs w:val="0"/>
          <w:color w:val="auto"/>
          <w:spacing w:val="0"/>
          <w:sz w:val="32"/>
          <w:szCs w:val="32"/>
          <w:lang w:eastAsia="zh-CN"/>
        </w:rPr>
        <w:t>有下列情形之一的为特别重大突发公共卫生事件（</w:t>
      </w:r>
      <w:r>
        <w:rPr>
          <w:rFonts w:hint="eastAsia" w:ascii="仿宋" w:hAnsi="仿宋" w:eastAsia="仿宋" w:cs="仿宋"/>
          <w:b w:val="0"/>
          <w:bCs w:val="0"/>
          <w:color w:val="auto"/>
          <w:spacing w:val="0"/>
          <w:sz w:val="32"/>
          <w:szCs w:val="32"/>
          <w:lang w:eastAsia="zh-CN"/>
        </w:rPr>
        <w:t>Ⅰ</w:t>
      </w:r>
      <w:r>
        <w:rPr>
          <w:rFonts w:hint="default" w:ascii="仿宋" w:hAnsi="仿宋" w:eastAsia="仿宋" w:cs="仿宋"/>
          <w:b w:val="0"/>
          <w:bCs w:val="0"/>
          <w:color w:val="auto"/>
          <w:spacing w:val="0"/>
          <w:sz w:val="32"/>
          <w:szCs w:val="32"/>
          <w:lang w:eastAsia="zh-CN"/>
        </w:rPr>
        <w:t>级）：</w:t>
      </w:r>
    </w:p>
    <w:p w14:paraId="3BFBDC9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（1）肺鼠疫、肺炭疽在城市发生，并有扩散趋势；肺鼠疫、肺炭疽疫情波及省外地区，并有进一步扩散趋势。</w:t>
      </w:r>
    </w:p>
    <w:p w14:paraId="484AD01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（2）发生传染性非典型肺炎、人感染高致病性禽流感病例，并有扩散趋势。</w:t>
      </w:r>
    </w:p>
    <w:p w14:paraId="791EF6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（3）群体性不明原因疾病，同时涉及省外，并有扩散趋势。</w:t>
      </w:r>
    </w:p>
    <w:p w14:paraId="33DE94C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（4）发生新传染病或我国尚未发现的传染病在本市发生或传入，并有扩散趋势，或发现我国已消灭的传染病在本市重新流行。</w:t>
      </w:r>
    </w:p>
    <w:p w14:paraId="7CFF1A5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（5）发生烈性病菌株、毒株、致病因子等丢失事件。</w:t>
      </w:r>
    </w:p>
    <w:p w14:paraId="61A3743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（6）周边以及与我市通航的国家和地区发生特大传染病疫情，并出现输入性病例，严重危及我市公共卫生安全的事件。</w:t>
      </w:r>
    </w:p>
    <w:p w14:paraId="56AD794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（7）国务院卫生健康行政部门认定的其他特别重大突发公共卫生事件。</w:t>
      </w:r>
    </w:p>
    <w:p w14:paraId="581388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2.重大突发公共卫生事件（Ⅱ级）</w:t>
      </w:r>
    </w:p>
    <w:p w14:paraId="006FC29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b w:val="0"/>
          <w:bCs w:val="0"/>
          <w:color w:val="auto"/>
          <w:spacing w:val="0"/>
          <w:sz w:val="32"/>
          <w:szCs w:val="32"/>
          <w:lang w:eastAsia="zh-CN"/>
        </w:rPr>
      </w:pPr>
      <w:r>
        <w:rPr>
          <w:rFonts w:hint="default" w:ascii="仿宋" w:hAnsi="仿宋" w:eastAsia="仿宋" w:cs="仿宋"/>
          <w:b w:val="0"/>
          <w:bCs w:val="0"/>
          <w:color w:val="auto"/>
          <w:spacing w:val="0"/>
          <w:sz w:val="32"/>
          <w:szCs w:val="32"/>
          <w:lang w:eastAsia="zh-CN"/>
        </w:rPr>
        <w:t>有下列情形之一的为重大突发公共卫生事件（Ⅱ级）：</w:t>
      </w:r>
    </w:p>
    <w:p w14:paraId="5A89285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（1）在</w:t>
      </w:r>
      <w:r>
        <w:rPr>
          <w:rFonts w:hint="default" w:ascii="仿宋" w:hAnsi="仿宋" w:eastAsia="仿宋" w:cs="仿宋"/>
          <w:color w:val="auto"/>
          <w:spacing w:val="0"/>
          <w:sz w:val="32"/>
          <w:szCs w:val="32"/>
          <w:highlight w:val="none"/>
          <w:lang w:eastAsia="zh-CN"/>
        </w:rPr>
        <w:t>一个县（市）区</w:t>
      </w:r>
      <w:r>
        <w:rPr>
          <w:rFonts w:hint="default" w:ascii="仿宋" w:hAnsi="仿宋" w:eastAsia="仿宋" w:cs="仿宋"/>
          <w:color w:val="auto"/>
          <w:spacing w:val="0"/>
          <w:sz w:val="32"/>
          <w:szCs w:val="32"/>
          <w:lang w:eastAsia="zh-CN"/>
        </w:rPr>
        <w:t>内，一个平均潜伏期内（6天）发生5例以上肺鼠疫、肺炭疽病例，或相关联的疫情波及2个以上的县（市）区。</w:t>
      </w:r>
    </w:p>
    <w:p w14:paraId="5ADCA9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（2）发生传染性非典型肺炎、人感染高致病性禽流感疑似病例。</w:t>
      </w:r>
    </w:p>
    <w:p w14:paraId="5E5520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（3）腺鼠疫在本市范围内发生流行，一个平均潜伏期内多点连续发病20例以上，或流行范围波及本市以外地区。</w:t>
      </w:r>
    </w:p>
    <w:p w14:paraId="02D6BB0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（4）霍乱在本市范围内流行，一周内发病30例以上或疫情波及本市以外地区，并有扩散趋势。</w:t>
      </w:r>
    </w:p>
    <w:p w14:paraId="02D0A08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（5）乙类、丙类传染病疫情波及2个以</w:t>
      </w:r>
      <w:r>
        <w:rPr>
          <w:rFonts w:hint="default" w:ascii="仿宋" w:hAnsi="仿宋" w:eastAsia="仿宋" w:cs="仿宋"/>
          <w:color w:val="auto"/>
          <w:spacing w:val="0"/>
          <w:sz w:val="32"/>
          <w:szCs w:val="32"/>
          <w:highlight w:val="none"/>
          <w:lang w:eastAsia="zh-CN"/>
        </w:rPr>
        <w:t>上县（市）</w:t>
      </w:r>
      <w:r>
        <w:rPr>
          <w:rFonts w:hint="default" w:ascii="仿宋" w:hAnsi="仿宋" w:eastAsia="仿宋" w:cs="仿宋"/>
          <w:color w:val="auto"/>
          <w:spacing w:val="0"/>
          <w:sz w:val="32"/>
          <w:szCs w:val="32"/>
          <w:lang w:eastAsia="zh-CN"/>
        </w:rPr>
        <w:t>，一周内发病水平超过前5年同期平均发病水平2倍。</w:t>
      </w:r>
    </w:p>
    <w:p w14:paraId="18AB375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（6）我国尚未发现的传染病在本市发生或传入，尚未造成扩散。</w:t>
      </w:r>
    </w:p>
    <w:p w14:paraId="7B77868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（7）发生群体性不明原因疾病，扩散</w:t>
      </w:r>
      <w:r>
        <w:rPr>
          <w:rFonts w:hint="default" w:ascii="仿宋" w:hAnsi="仿宋" w:eastAsia="仿宋" w:cs="仿宋"/>
          <w:color w:val="auto"/>
          <w:spacing w:val="0"/>
          <w:sz w:val="32"/>
          <w:szCs w:val="32"/>
          <w:highlight w:val="none"/>
          <w:lang w:eastAsia="zh-CN"/>
        </w:rPr>
        <w:t>到县（市）</w:t>
      </w:r>
      <w:r>
        <w:rPr>
          <w:rFonts w:hint="default" w:ascii="仿宋" w:hAnsi="仿宋" w:eastAsia="仿宋" w:cs="仿宋"/>
          <w:color w:val="auto"/>
          <w:spacing w:val="0"/>
          <w:sz w:val="32"/>
          <w:szCs w:val="32"/>
          <w:lang w:eastAsia="zh-CN"/>
        </w:rPr>
        <w:t>以外的地区。</w:t>
      </w:r>
    </w:p>
    <w:p w14:paraId="336FDD0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（8）发生重大医源性感染事件。</w:t>
      </w:r>
    </w:p>
    <w:p w14:paraId="657EEEA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（9）预防接种或群体预防性服药出现人员死亡。</w:t>
      </w:r>
    </w:p>
    <w:p w14:paraId="5196040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（10）一次食物中毒人数超过100人并出现死亡病例或出现10例死亡病例。</w:t>
      </w:r>
    </w:p>
    <w:p w14:paraId="0324B94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（11）一次发生急性职业中毒50人以上或死亡5人以上。</w:t>
      </w:r>
    </w:p>
    <w:p w14:paraId="32E5095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（12）境内外隐匿运输、邮寄烈性生物病原体、生物毒素造成本市范围内人员感染或死亡的。</w:t>
      </w:r>
    </w:p>
    <w:p w14:paraId="17A38CE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（13）省卫生健康行政部门认定的其他重大突发公共卫生事件。</w:t>
      </w:r>
    </w:p>
    <w:p w14:paraId="7861129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3.较大突发公共卫生事件（Ⅲ级）</w:t>
      </w:r>
    </w:p>
    <w:p w14:paraId="3F123BA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b w:val="0"/>
          <w:bCs w:val="0"/>
          <w:color w:val="auto"/>
          <w:spacing w:val="0"/>
          <w:sz w:val="32"/>
          <w:szCs w:val="32"/>
          <w:lang w:eastAsia="zh-CN"/>
        </w:rPr>
      </w:pPr>
      <w:r>
        <w:rPr>
          <w:rFonts w:hint="default" w:ascii="仿宋" w:hAnsi="仿宋" w:eastAsia="仿宋" w:cs="仿宋"/>
          <w:b w:val="0"/>
          <w:bCs w:val="0"/>
          <w:color w:val="auto"/>
          <w:spacing w:val="0"/>
          <w:sz w:val="32"/>
          <w:szCs w:val="32"/>
          <w:lang w:eastAsia="zh-CN"/>
        </w:rPr>
        <w:t>有下列情形之一的为较大突发公共卫生事件（Ⅲ级）：</w:t>
      </w:r>
    </w:p>
    <w:p w14:paraId="3987AD5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（1）发生肺鼠疫、肺炭疽病例，一个平均潜伏期内（6天）病例数未超过5例，流行范围在一个县（市）行政区域以内。</w:t>
      </w:r>
    </w:p>
    <w:p w14:paraId="2510DDF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（2）腺鼠疫发生流行，在一个县（市）范围内，一个平均潜伏期内连续发病10例以上，或波及2个以上县（市）。</w:t>
      </w:r>
    </w:p>
    <w:p w14:paraId="1320D30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（3）霍乱在一个县（市）内发生，一周内发病10～29例，波及2个以上县（市）区或本市市区首次发生。</w:t>
      </w:r>
    </w:p>
    <w:p w14:paraId="6D4D970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（4）一周内在一个县（市）行政区域内，乙、丙类传染病发病水平超过前5年同期平均发病水平1倍。</w:t>
      </w:r>
    </w:p>
    <w:p w14:paraId="54A6CF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（5）在一个县（市）行政区域内，发生群体性不明原因疾病。</w:t>
      </w:r>
    </w:p>
    <w:p w14:paraId="1E7F3F4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（6）一次食物中毒人数超过100人，或出现死亡病例。</w:t>
      </w:r>
    </w:p>
    <w:p w14:paraId="12AC0D3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（7）一次发生急性职业中毒10～49人，或死亡4人以下。</w:t>
      </w:r>
    </w:p>
    <w:p w14:paraId="6D82EEA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（8）预防接种或群体预防性服药出现群体心因性反应或群体性不良反应。</w:t>
      </w:r>
    </w:p>
    <w:p w14:paraId="530BA04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（9）市卫健委认定的其他较大突发公共卫生事件。</w:t>
      </w:r>
    </w:p>
    <w:p w14:paraId="001031B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4.一般突发公共卫生事件（Ⅳ级）</w:t>
      </w:r>
    </w:p>
    <w:p w14:paraId="0850DBC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b w:val="0"/>
          <w:bCs w:val="0"/>
          <w:color w:val="auto"/>
          <w:spacing w:val="0"/>
          <w:sz w:val="32"/>
          <w:szCs w:val="32"/>
          <w:lang w:eastAsia="zh-CN"/>
        </w:rPr>
      </w:pPr>
      <w:r>
        <w:rPr>
          <w:rFonts w:hint="default" w:ascii="仿宋" w:hAnsi="仿宋" w:eastAsia="仿宋" w:cs="仿宋"/>
          <w:b w:val="0"/>
          <w:bCs w:val="0"/>
          <w:color w:val="auto"/>
          <w:spacing w:val="0"/>
          <w:sz w:val="32"/>
          <w:szCs w:val="32"/>
          <w:lang w:eastAsia="zh-CN"/>
        </w:rPr>
        <w:t>有下列情形之一的为一般突发公共卫生事件（Ⅳ级）：</w:t>
      </w:r>
    </w:p>
    <w:p w14:paraId="210B488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（1）腺鼠疫在一个县（市）行政区域内发生，一个平均潜伏期内发病10例以下。</w:t>
      </w:r>
    </w:p>
    <w:p w14:paraId="48E9C97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（2）霍乱在一个县（市）行政区域内发生，一周内发病9例以下或疫情波及2个以上县（市）。</w:t>
      </w:r>
    </w:p>
    <w:p w14:paraId="4BE19B0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（3）一次食物中毒人数30～99人，未出现死亡病例。</w:t>
      </w:r>
    </w:p>
    <w:p w14:paraId="2904AD5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（4）一次发生急性职业中毒3～9人，未出现死亡病例。</w:t>
      </w:r>
    </w:p>
    <w:p w14:paraId="3379AD2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（5）区卫健局认定的其他一般突发公共卫生事件。</w:t>
      </w:r>
    </w:p>
    <w:p w14:paraId="5DF3A76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上述有关数量的表述中，“以上”含本数，“以下”不含本数。</w:t>
      </w:r>
    </w:p>
    <w:p w14:paraId="6768E64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1" w:name="bookmark19"/>
      <w:bookmarkEnd w:id="41"/>
      <w:bookmarkStart w:id="42" w:name="_Toc338"/>
      <w:r>
        <w:rPr>
          <w:rFonts w:hint="default" w:ascii="Times New Roman" w:hAnsi="Times New Roman" w:eastAsia="楷体" w:cs="Times New Roman"/>
          <w:b w:val="0"/>
          <w:bCs w:val="0"/>
          <w:color w:val="auto"/>
          <w:spacing w:val="0"/>
          <w:sz w:val="32"/>
          <w:szCs w:val="32"/>
          <w:lang w:eastAsia="zh-CN"/>
        </w:rPr>
        <w:t>（三）指挥与协调</w:t>
      </w:r>
      <w:bookmarkEnd w:id="42"/>
    </w:p>
    <w:p w14:paraId="3E578B9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组织协调有关部门参与突发公共卫生事件的处理。根据突发公共卫生事件处理需要，调集本行政区域内各类人员、物资、交通工具和相关设施、设备参加应急处理工作。涉及危险化学品管理和运输安全的，有关部门要严格执行相关规定，防止事故发生。</w:t>
      </w:r>
      <w:bookmarkStart w:id="43" w:name="bookmark20"/>
      <w:bookmarkEnd w:id="43"/>
    </w:p>
    <w:p w14:paraId="3F93BAA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4" w:name="_Toc10441"/>
      <w:r>
        <w:rPr>
          <w:rFonts w:hint="default" w:ascii="Times New Roman" w:hAnsi="Times New Roman" w:eastAsia="楷体" w:cs="Times New Roman"/>
          <w:b w:val="0"/>
          <w:bCs w:val="0"/>
          <w:color w:val="auto"/>
          <w:spacing w:val="0"/>
          <w:sz w:val="32"/>
          <w:szCs w:val="32"/>
          <w:lang w:eastAsia="zh-CN"/>
        </w:rPr>
        <w:t>（四）先期处置</w:t>
      </w:r>
      <w:bookmarkEnd w:id="44"/>
    </w:p>
    <w:p w14:paraId="216BC65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1.划定控制区域：</w:t>
      </w:r>
      <w:r>
        <w:rPr>
          <w:rFonts w:hint="eastAsia" w:ascii="仿宋" w:hAnsi="仿宋" w:eastAsia="仿宋" w:cs="仿宋"/>
          <w:color w:val="auto"/>
          <w:spacing w:val="0"/>
          <w:sz w:val="32"/>
          <w:szCs w:val="32"/>
          <w:lang w:eastAsia="zh-CN"/>
        </w:rPr>
        <w:t>甲类、乙类传染病暴发、流行时，区政府报经市政府决定，可以宣布疫病区范围；对甲类传染病疫病区实施封锁需报请市政府决定。对重大食物和职业中毒事故，根据污染食品扩散和职业危害因素波及的范围，划定控制区域。</w:t>
      </w:r>
    </w:p>
    <w:p w14:paraId="3EA420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2.疫情控制措施：</w:t>
      </w:r>
      <w:r>
        <w:rPr>
          <w:rFonts w:hint="default" w:ascii="仿宋" w:hAnsi="仿宋" w:eastAsia="仿宋" w:cs="仿宋"/>
          <w:color w:val="auto"/>
          <w:spacing w:val="0"/>
          <w:sz w:val="32"/>
          <w:szCs w:val="32"/>
          <w:lang w:eastAsia="zh-CN"/>
        </w:rPr>
        <w:t>区政府可以在本行政区域内采取限制措施或者停止集市、集会、影剧院演出，以及其他人群聚集的活动：停工、停课、停业；封闭或封存被传染病病原体污染的公共饮用水源、食品以及相关物品等；紧急征用物资、设备、交通工具和场地、房屋。</w:t>
      </w:r>
    </w:p>
    <w:p w14:paraId="396FE63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3.流动人口管理：</w:t>
      </w:r>
      <w:r>
        <w:rPr>
          <w:rFonts w:hint="default" w:ascii="仿宋" w:hAnsi="仿宋" w:eastAsia="仿宋" w:cs="仿宋"/>
          <w:color w:val="auto"/>
          <w:spacing w:val="0"/>
          <w:sz w:val="32"/>
          <w:szCs w:val="32"/>
          <w:lang w:eastAsia="zh-CN"/>
        </w:rPr>
        <w:t>对流动人口采取预防工作，落实控制措施，对传染病病人、疑似病人采取就地隔离，就地观察</w:t>
      </w:r>
      <w:r>
        <w:rPr>
          <w:rFonts w:hint="eastAsia" w:ascii="仿宋" w:hAnsi="仿宋" w:eastAsia="仿宋" w:cs="仿宋"/>
          <w:color w:val="auto"/>
          <w:spacing w:val="0"/>
          <w:sz w:val="32"/>
          <w:szCs w:val="32"/>
          <w:lang w:eastAsia="zh-CN"/>
        </w:rPr>
        <w:t>，就</w:t>
      </w:r>
      <w:r>
        <w:rPr>
          <w:rFonts w:hint="default" w:ascii="仿宋" w:hAnsi="仿宋" w:eastAsia="仿宋" w:cs="仿宋"/>
          <w:color w:val="auto"/>
          <w:spacing w:val="0"/>
          <w:sz w:val="32"/>
          <w:szCs w:val="32"/>
          <w:lang w:eastAsia="zh-CN"/>
        </w:rPr>
        <w:t>地治疗的措施，对密切接触者根据情况采取集中或居家医学观察。</w:t>
      </w:r>
    </w:p>
    <w:p w14:paraId="14DF162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4.实施交通卫生检疫：</w:t>
      </w:r>
      <w:r>
        <w:rPr>
          <w:rFonts w:hint="default" w:ascii="仿宋" w:hAnsi="仿宋" w:eastAsia="仿宋" w:cs="仿宋"/>
          <w:color w:val="auto"/>
          <w:spacing w:val="0"/>
          <w:sz w:val="32"/>
          <w:szCs w:val="32"/>
          <w:lang w:eastAsia="zh-CN"/>
        </w:rPr>
        <w:t>按照市突发公共卫生事件应急指挥部的决策，在交通站点和出入口临时设置或启动交通卫生检疫站，对出入境、进出疫病区和运行中的交通工具及其乘运人员和物资、宿主动物进行检疫查验，对病人、疑似病人及其密切接触者实施临时隔离、留验和向区卫健局指定的机构移交。</w:t>
      </w:r>
    </w:p>
    <w:p w14:paraId="4D62D2E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5.信息发布：</w:t>
      </w:r>
      <w:r>
        <w:rPr>
          <w:rFonts w:hint="default" w:ascii="仿宋" w:hAnsi="仿宋" w:eastAsia="仿宋" w:cs="仿宋"/>
          <w:color w:val="auto"/>
          <w:spacing w:val="0"/>
          <w:sz w:val="32"/>
          <w:szCs w:val="32"/>
          <w:lang w:eastAsia="zh-CN"/>
        </w:rPr>
        <w:t>突发公共卫生事件发生后，突发公共卫生事件应急指挥部要将信息发布与其他应急措施同步部署，根据有关规定统一发布事件信息。信息发布要及时主动、准确把握，实事求是，正确引导舆论，注重社会效果。</w:t>
      </w:r>
    </w:p>
    <w:p w14:paraId="6340D8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6.开展群防群治：</w:t>
      </w:r>
      <w:r>
        <w:rPr>
          <w:rFonts w:hint="default" w:ascii="仿宋" w:hAnsi="仿宋" w:eastAsia="仿宋" w:cs="仿宋"/>
          <w:color w:val="auto"/>
          <w:spacing w:val="0"/>
          <w:sz w:val="32"/>
          <w:szCs w:val="32"/>
          <w:lang w:eastAsia="zh-CN"/>
        </w:rPr>
        <w:t>各街道办事处、村屯、其他部门、医疗机构，做好疫情信息的收集、报告、人员分散隔离及公共卫生措施的实施工作。</w:t>
      </w:r>
    </w:p>
    <w:p w14:paraId="49B8F40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7.维护社会稳定：</w:t>
      </w:r>
      <w:r>
        <w:rPr>
          <w:rFonts w:hint="default" w:ascii="仿宋" w:hAnsi="仿宋" w:eastAsia="仿宋" w:cs="仿宋"/>
          <w:color w:val="auto"/>
          <w:spacing w:val="0"/>
          <w:sz w:val="32"/>
          <w:szCs w:val="32"/>
          <w:lang w:eastAsia="zh-CN"/>
        </w:rPr>
        <w:t>组织有关部门保障商品供应，平抑物价，防止哄抢；严厉打击造谣传谣、哄抬物价、囤积居奇、制假售假等违法犯罪和扰乱社会治安的行为。</w:t>
      </w:r>
    </w:p>
    <w:p w14:paraId="57756EC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5" w:name="bookmark21"/>
      <w:bookmarkEnd w:id="45"/>
      <w:bookmarkStart w:id="46" w:name="_Toc28427"/>
      <w:r>
        <w:rPr>
          <w:rFonts w:hint="default" w:ascii="Times New Roman" w:hAnsi="Times New Roman" w:eastAsia="楷体" w:cs="Times New Roman"/>
          <w:b w:val="0"/>
          <w:bCs w:val="0"/>
          <w:color w:val="auto"/>
          <w:spacing w:val="0"/>
          <w:sz w:val="32"/>
          <w:szCs w:val="32"/>
          <w:lang w:eastAsia="zh-CN"/>
        </w:rPr>
        <w:t>（五）应急响应措施</w:t>
      </w:r>
      <w:bookmarkEnd w:id="46"/>
    </w:p>
    <w:p w14:paraId="4F27ACC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1.区卫健局</w:t>
      </w:r>
    </w:p>
    <w:p w14:paraId="401BF1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（1）组织区疾病预防控制中心，同时协调市级医疗机构、市疾病预防控制中心、市卫生监督部门开展突发公共卫生事件的调查与处理。</w:t>
      </w:r>
    </w:p>
    <w:p w14:paraId="0B12B00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（2）组织突发公共卫生事件专家咨询委员会对突发公共卫生事件进行评估，提出启动突发公共卫生事件应急处置的级别。</w:t>
      </w:r>
    </w:p>
    <w:p w14:paraId="66F8730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（3）根据需要组织开展应急疫苗接种、预防服药等应急控制工作。</w:t>
      </w:r>
    </w:p>
    <w:p w14:paraId="6462D0D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（4）负责对本行政区域内的应急处理工作进行督查和指导。</w:t>
      </w:r>
    </w:p>
    <w:p w14:paraId="3DF3233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（5）组织对新发现的突发传染病、不明原因的群体性疾病的技术标准和规范开展相应的培训工作。</w:t>
      </w:r>
    </w:p>
    <w:p w14:paraId="339A138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（6）针对事件性质，有针对性地开展卫生知识宣教，增强公众健康意识和自我防护能力，消除公众心理障碍，开展心理危机干预工作。</w:t>
      </w:r>
    </w:p>
    <w:p w14:paraId="38EAE34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（7）组织专家对突发公共卫生事件的处理情况进行综合评估，包括事件概况、现场调查处理概况、病人救治情况、所采取的措施、效果评价等。</w:t>
      </w:r>
    </w:p>
    <w:p w14:paraId="261DE31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2.医疗机构响应</w:t>
      </w:r>
    </w:p>
    <w:p w14:paraId="639E1AC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（1）开展病人接诊、收治和转运工作。实行重症和普通病人分开管理，对疑似病人及时排除或确诊。</w:t>
      </w:r>
    </w:p>
    <w:p w14:paraId="43766FA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（2）协助市疾病预防控制中心开展标本的采集、流行病学调查工作。</w:t>
      </w:r>
    </w:p>
    <w:p w14:paraId="31A6435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（3）做好医院内现场控制、消毒隔离、个人防护、医疗垃圾和污水处理工作，防止院内交叉感染和污染。</w:t>
      </w:r>
    </w:p>
    <w:p w14:paraId="5271589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（4）做好传染病病人和中毒病人的报告。对因突发公共卫生事件而引起身体伤害的病人，任何医疗机构不得拒绝接诊。</w:t>
      </w:r>
    </w:p>
    <w:p w14:paraId="61613ED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（5）做好群体性不明原因疾病和新发传染病病例分析与总结，积累诊断治疗的经验。重大中毒事件，按照现场救援病人转运、后续治疗相结合的原则进行处置。</w:t>
      </w:r>
    </w:p>
    <w:p w14:paraId="6AB5E7E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（6）开展与突发公共卫生事件相关的诊断试剂、药品、防护用品等方面的研究。</w:t>
      </w:r>
    </w:p>
    <w:p w14:paraId="5F8F2CB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3.突发公共卫生事件所在街道办事处、村屯的响应</w:t>
      </w:r>
    </w:p>
    <w:p w14:paraId="12B2419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（1）按照区突发公共卫生事件应急指挥部的指令开展隔离、送医、检查、登记、调查等应急救援行动。</w:t>
      </w:r>
    </w:p>
    <w:p w14:paraId="5B8C108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（2）做好受突发公共卫生事件影响人员的生活保障。</w:t>
      </w:r>
    </w:p>
    <w:p w14:paraId="27630BD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4.非突发公共卫生事件发生区域的街道办事处、村屯根据其他地区发生公共卫生事件的性质、特点、发生区域和发展趋势，分析本地区受波及的可能性和程度，重点做好以下工作：</w:t>
      </w:r>
    </w:p>
    <w:p w14:paraId="1DCA408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（1）密切保持与事件发生地区的联系，及时获取相关信息。</w:t>
      </w:r>
    </w:p>
    <w:p w14:paraId="731A337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（2）组织做好本区域应急处理所需的人员与物资准备。</w:t>
      </w:r>
    </w:p>
    <w:p w14:paraId="4F352D7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（3）加强相关疾病与健康监测和报告工作，必要时，建立专门报告制度。</w:t>
      </w:r>
    </w:p>
    <w:p w14:paraId="461D911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（4）配合开展重点人群、重点场所和重点环节的监测和预防控制工作，防患于未然。</w:t>
      </w:r>
    </w:p>
    <w:p w14:paraId="7753B99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（5）开展防治知识宣传和健康教育，增强公众自我保护能力和意识。</w:t>
      </w:r>
    </w:p>
    <w:p w14:paraId="620352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（6）根据上级人民政府及其有关部门的决定，配合开展交通卫生检疫等。</w:t>
      </w:r>
    </w:p>
    <w:p w14:paraId="3485F20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7" w:name="bookmark22"/>
      <w:bookmarkEnd w:id="47"/>
      <w:bookmarkStart w:id="48" w:name="_Toc3587"/>
      <w:r>
        <w:rPr>
          <w:rFonts w:hint="default" w:ascii="Times New Roman" w:hAnsi="Times New Roman" w:eastAsia="楷体" w:cs="Times New Roman"/>
          <w:b w:val="0"/>
          <w:bCs w:val="0"/>
          <w:color w:val="auto"/>
          <w:spacing w:val="0"/>
          <w:sz w:val="32"/>
          <w:szCs w:val="32"/>
          <w:lang w:eastAsia="zh-CN"/>
        </w:rPr>
        <w:t>（六）事件评估与等级确定</w:t>
      </w:r>
      <w:bookmarkEnd w:id="48"/>
    </w:p>
    <w:p w14:paraId="11A30D4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事件评估与事件报告、现场处理同时进行。区级评估为初级评估，可根据事件影响程度，自下而上、逐级启动评估机制。评估工作主要在事发现场和救援地进行，评估内容包括事件性质、严重程度、影响范围、可控制性、应急需求、救援安全性等。评估组必须在规定的时间内完成书面评估报告，向区级专家咨询委员会提交预警级别和应急处理的建议。</w:t>
      </w:r>
    </w:p>
    <w:p w14:paraId="374208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卫健局在监测到突发公共卫生事件信息后2小时内，应立即组成专家评估组到事件现场进行现场评估。必要时，区政府可指定公安、民政等有关部门参加评估；或组成区政府专家评估组进行评估。评估组在到达现场的60分钟内向区卫健局做出初步报告，4小时内完成全部评估；报告同时上报市卫生健康委。</w:t>
      </w:r>
    </w:p>
    <w:p w14:paraId="7B3ECCE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在接到较大突发公共卫生事件信息报告2小时内，区卫健局向区委、区政府及市卫生健康委报告，请求组成专家评估组，参与现场评估并指导区专家评估组工作。评估组应在到达现场后4小</w:t>
      </w:r>
      <w:r>
        <w:rPr>
          <w:rFonts w:hint="eastAsia" w:ascii="仿宋" w:hAnsi="仿宋" w:eastAsia="仿宋" w:cs="仿宋"/>
          <w:color w:val="auto"/>
          <w:spacing w:val="0"/>
          <w:sz w:val="32"/>
          <w:szCs w:val="32"/>
          <w:lang w:eastAsia="zh-CN"/>
        </w:rPr>
        <w:t>时内</w:t>
      </w:r>
      <w:r>
        <w:rPr>
          <w:rFonts w:hint="default" w:ascii="仿宋" w:hAnsi="仿宋" w:eastAsia="仿宋" w:cs="仿宋"/>
          <w:color w:val="auto"/>
          <w:spacing w:val="0"/>
          <w:sz w:val="32"/>
          <w:szCs w:val="32"/>
          <w:lang w:eastAsia="zh-CN"/>
        </w:rPr>
        <w:t>向区卫健局做出初步报告。</w:t>
      </w:r>
    </w:p>
    <w:p w14:paraId="3348925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重大或特别重大突发公共卫生事件发生后，区卫健局应立即向区委、区政府及市卫生健康委报告。</w:t>
      </w:r>
    </w:p>
    <w:p w14:paraId="0223D3C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49" w:name="bookmark23"/>
      <w:bookmarkEnd w:id="49"/>
      <w:bookmarkStart w:id="50" w:name="_Toc9428"/>
      <w:r>
        <w:rPr>
          <w:rFonts w:hint="default" w:ascii="Times New Roman" w:hAnsi="Times New Roman" w:eastAsia="楷体" w:cs="Times New Roman"/>
          <w:b w:val="0"/>
          <w:bCs w:val="0"/>
          <w:color w:val="auto"/>
          <w:spacing w:val="0"/>
          <w:sz w:val="32"/>
          <w:szCs w:val="32"/>
          <w:lang w:eastAsia="zh-CN"/>
        </w:rPr>
        <w:t>（七）分级响应措施</w:t>
      </w:r>
      <w:bookmarkEnd w:id="50"/>
    </w:p>
    <w:p w14:paraId="3380328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1.一般突发公共卫生事件（Ⅳ级）的应急响应</w:t>
      </w:r>
    </w:p>
    <w:p w14:paraId="581FA94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区突发公共卫生事件应急指挥部接到报告后，应立即组织专家进行调查确认和评估，提出应急响应启动、调整或终止的建议报区政府，由区突发公共卫生事件应急指挥部发布相关指示或信息。</w:t>
      </w:r>
    </w:p>
    <w:p w14:paraId="51AE15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突发公共卫生事件应急响应信息发布后，卫健局迅速协调市疾病预防控制中心和市卫生监督机构指导，组织区内卫生医疗机构开展突发公共卫生事件的现场处置工作，并按规定向区政府和市卫健委报告情况。</w:t>
      </w:r>
    </w:p>
    <w:p w14:paraId="1E6D9B5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区政府负责组织有关部门开展突发公共卫生事件的应急处置工作。超出区级应急处置能力时，报请市政府和有关部门给予支持。</w:t>
      </w:r>
    </w:p>
    <w:p w14:paraId="6DEDE26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发生突发公共卫生事件的街道办事处、社区、村屯等，严格按照区应急指挥部的指导采取应急措施。</w:t>
      </w:r>
    </w:p>
    <w:p w14:paraId="5A12616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未发生突发公共卫生事件的街道办事处、村屯等，应服从区突发公共卫生事件应急处理指挥部的调度，支援应急处理工作；同时采取必要的预防控制措施，防止突发公共卫生事件在本行政区域内发生。</w:t>
      </w:r>
    </w:p>
    <w:p w14:paraId="0E3089D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2.较大（Ⅲ）及以上突发公共卫生事件应急响应</w:t>
      </w:r>
    </w:p>
    <w:p w14:paraId="7723A3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委、区政府在市、省、国家突发公共卫生事件应急指挥中心的指导、指挥下，调度全区力量落实本行政区域突发公共卫生事件应急处理措施：做好疫情信息收集、组织人员的疏散安置、依法进行疫区确定与封锁、隔离和舆论宣传工作；保证突发公共卫生事件应急处理所需的医疗救治和预防用防护设备、药品、疫苗、器械等物资的供应。应急指挥部办公室应在区政府的统一领导和上级应急指挥中心的指导下，具体负责实施本行政区域内的应急处理工作，并按规定及时向区政府和市卫生健康委报告情况。</w:t>
      </w:r>
    </w:p>
    <w:p w14:paraId="2D4A85F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51" w:name="bookmark24"/>
      <w:bookmarkEnd w:id="51"/>
      <w:bookmarkStart w:id="52" w:name="_Toc27242"/>
      <w:r>
        <w:rPr>
          <w:rFonts w:hint="default" w:ascii="Times New Roman" w:hAnsi="Times New Roman" w:eastAsia="楷体" w:cs="Times New Roman"/>
          <w:b w:val="0"/>
          <w:bCs w:val="0"/>
          <w:color w:val="auto"/>
          <w:spacing w:val="0"/>
          <w:sz w:val="32"/>
          <w:szCs w:val="32"/>
          <w:lang w:eastAsia="zh-CN"/>
        </w:rPr>
        <w:t>（八）信息发布</w:t>
      </w:r>
      <w:bookmarkEnd w:id="52"/>
    </w:p>
    <w:p w14:paraId="1F01A95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突发公共卫生事件应急指挥部在区委、区政府的领导下负责信息发布工作。</w:t>
      </w:r>
    </w:p>
    <w:p w14:paraId="1DCA8EA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要在突发公共卫生事件发生后的第一时间通过主要媒体向社会发布简要信息，随后发布初步核实情况、政府应对措施和公众防范措施等，并根据应急处置情况做好后续发布工作。同时，加强网络和手机短信内容的监控和舆情分析，引导公众依法、理性表达意见，形成积极健康的社会舆论。任何单位和个人不得编造、传播有关突发公共卫生事件事态发展或应急处置工作的虚假信息。</w:t>
      </w:r>
    </w:p>
    <w:p w14:paraId="7ECF75E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信息发布形式主要包括授权发布、提供新闻通稿、组织报道、接受记者采访、举行新闻发布会等，通过国家、省、市的主要新闻媒体、重点新闻网站、有关人民政府网站和手机短信等发布信息。</w:t>
      </w:r>
    </w:p>
    <w:p w14:paraId="77EB2BE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bCs/>
          <w:color w:val="auto"/>
          <w:spacing w:val="0"/>
          <w:sz w:val="32"/>
          <w:szCs w:val="32"/>
          <w:lang w:eastAsia="zh-CN"/>
        </w:rPr>
      </w:pPr>
      <w:bookmarkStart w:id="53" w:name="bookmark25"/>
      <w:bookmarkEnd w:id="53"/>
      <w:bookmarkStart w:id="54" w:name="_Toc3066"/>
      <w:r>
        <w:rPr>
          <w:rFonts w:hint="default" w:ascii="Times New Roman" w:hAnsi="Times New Roman" w:eastAsia="楷体" w:cs="Times New Roman"/>
          <w:b w:val="0"/>
          <w:bCs w:val="0"/>
          <w:color w:val="auto"/>
          <w:spacing w:val="0"/>
          <w:sz w:val="32"/>
          <w:szCs w:val="32"/>
          <w:lang w:eastAsia="zh-CN"/>
        </w:rPr>
        <w:t>（九）响应终止</w:t>
      </w:r>
      <w:bookmarkEnd w:id="54"/>
    </w:p>
    <w:p w14:paraId="140143F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突发公共卫生事件应急响应的终止需符合以下条件：突发公共卫生事件隐患或相关危险因素消除后，或末例传染病病例发生后经过最长潜伏期无新的病例出现。</w:t>
      </w:r>
    </w:p>
    <w:p w14:paraId="0F995A5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一般突发公共卫生事件由区卫健局组织专家进行分析论证，提出终止应急反应的建议，报区政府批准后实施，并向市卫生健康委报告。</w:t>
      </w:r>
    </w:p>
    <w:p w14:paraId="092B558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较大及以上突发公共卫生事件终止应急响应由市、省、国家卫生健康行政部门批准后实施。</w:t>
      </w:r>
    </w:p>
    <w:p w14:paraId="5E7D166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lang w:eastAsia="zh-CN"/>
        </w:rPr>
      </w:pPr>
      <w:bookmarkStart w:id="55" w:name="bookmark26"/>
      <w:bookmarkEnd w:id="55"/>
      <w:bookmarkStart w:id="56" w:name="_Toc24319"/>
      <w:r>
        <w:rPr>
          <w:rFonts w:hint="default" w:ascii="Times New Roman" w:hAnsi="Times New Roman" w:eastAsia="黑体" w:cs="Times New Roman"/>
          <w:color w:val="auto"/>
          <w:spacing w:val="0"/>
          <w:sz w:val="32"/>
          <w:szCs w:val="32"/>
          <w:lang w:eastAsia="zh-CN"/>
        </w:rPr>
        <w:t>六、后期处置</w:t>
      </w:r>
      <w:bookmarkEnd w:id="56"/>
    </w:p>
    <w:p w14:paraId="7FD138A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57" w:name="bookmark27"/>
      <w:bookmarkEnd w:id="57"/>
      <w:bookmarkStart w:id="58" w:name="_Toc21186"/>
      <w:r>
        <w:rPr>
          <w:rFonts w:hint="default" w:ascii="Times New Roman" w:hAnsi="Times New Roman" w:eastAsia="楷体" w:cs="Times New Roman"/>
          <w:b w:val="0"/>
          <w:bCs w:val="0"/>
          <w:color w:val="auto"/>
          <w:spacing w:val="0"/>
          <w:sz w:val="32"/>
          <w:szCs w:val="32"/>
          <w:lang w:eastAsia="zh-CN"/>
        </w:rPr>
        <w:t>（一）总结评估</w:t>
      </w:r>
      <w:bookmarkEnd w:id="58"/>
    </w:p>
    <w:p w14:paraId="1876F9D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突发公共卫生事件结束后，区卫健局应在区政府的领导下，组织有关人员对突发公共卫生事件的处理情况进行评估，并报市里审核。</w:t>
      </w:r>
    </w:p>
    <w:p w14:paraId="275C91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总结评估内容主要包括：事件概况、现场调查处理概况、病人救治情况、所采取措施的效果评价、应急处理过程中存在的问题和取得的经验及改进建议。评估报告上报区政府和市卫生健康委。</w:t>
      </w:r>
    </w:p>
    <w:p w14:paraId="2536F83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59" w:name="bookmark28"/>
      <w:bookmarkEnd w:id="59"/>
      <w:bookmarkStart w:id="60" w:name="_Toc13617"/>
      <w:r>
        <w:rPr>
          <w:rFonts w:hint="default" w:ascii="Times New Roman" w:hAnsi="Times New Roman" w:eastAsia="楷体" w:cs="Times New Roman"/>
          <w:b w:val="0"/>
          <w:bCs w:val="0"/>
          <w:color w:val="auto"/>
          <w:spacing w:val="0"/>
          <w:sz w:val="32"/>
          <w:szCs w:val="32"/>
          <w:lang w:eastAsia="zh-CN"/>
        </w:rPr>
        <w:t>（二）善后处置</w:t>
      </w:r>
      <w:bookmarkEnd w:id="60"/>
    </w:p>
    <w:p w14:paraId="48DD66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区突发公共卫生事件应急指挥部成立善后处置工作小组，做好受灾人员的安置、现场污染物收集、清理与处理工作。</w:t>
      </w:r>
    </w:p>
    <w:p w14:paraId="70B2BE8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1.区民政局、区应急局会同有关部门制定救灾救济安置标准。</w:t>
      </w:r>
    </w:p>
    <w:p w14:paraId="144516F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2.根据应急指挥部提供的灾害评估报告，参照有关规定，对应急处理期间紧急调集、征用有关单位的物资和人员及时给予补偿。</w:t>
      </w:r>
    </w:p>
    <w:p w14:paraId="398DEEC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3.对相关垃圾及污染物及时进行清理和妥善处理，必要时可采取隔离措施以防污染扩大。</w:t>
      </w:r>
    </w:p>
    <w:p w14:paraId="150EDA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4.按照国家有关规定对因参与突发公共卫生事件应急处理工作致病、致残、死亡的人员给予相应的补助和抚恤；对参加应急处理一线工作的专业技术人员制定合理的补助标准，给予补助。</w:t>
      </w:r>
    </w:p>
    <w:p w14:paraId="75DCA60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61" w:name="bookmark29"/>
      <w:bookmarkEnd w:id="61"/>
      <w:bookmarkStart w:id="62" w:name="_Toc2098"/>
      <w:r>
        <w:rPr>
          <w:rFonts w:hint="default" w:ascii="Times New Roman" w:hAnsi="Times New Roman" w:eastAsia="楷体" w:cs="Times New Roman"/>
          <w:b w:val="0"/>
          <w:bCs w:val="0"/>
          <w:color w:val="auto"/>
          <w:spacing w:val="0"/>
          <w:sz w:val="32"/>
          <w:szCs w:val="32"/>
          <w:lang w:eastAsia="zh-CN"/>
        </w:rPr>
        <w:t>（三）社会救助</w:t>
      </w:r>
      <w:bookmarkEnd w:id="62"/>
    </w:p>
    <w:p w14:paraId="2CD994B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根据突发公共卫生事件应急处理工作需要，组织动员社会各界开展捐赠活动。民政局和</w:t>
      </w:r>
      <w:r>
        <w:rPr>
          <w:rFonts w:hint="eastAsia" w:ascii="仿宋" w:hAnsi="仿宋" w:eastAsia="仿宋" w:cs="仿宋"/>
          <w:color w:val="auto"/>
          <w:spacing w:val="0"/>
          <w:sz w:val="32"/>
          <w:szCs w:val="32"/>
          <w:highlight w:val="none"/>
          <w:lang w:eastAsia="zh-CN"/>
        </w:rPr>
        <w:t>红十字会</w:t>
      </w:r>
      <w:r>
        <w:rPr>
          <w:rFonts w:hint="eastAsia" w:ascii="仿宋" w:hAnsi="仿宋" w:eastAsia="仿宋" w:cs="仿宋"/>
          <w:color w:val="auto"/>
          <w:spacing w:val="0"/>
          <w:sz w:val="32"/>
          <w:szCs w:val="32"/>
          <w:lang w:eastAsia="zh-CN"/>
        </w:rPr>
        <w:t>发动社会、个人展开救援，并按有关规定负责管理捐赠款物的接收、分配、运输和发放工作。司法、检察等部门负责对社会捐赠资金和物资实行全过程监管，确保救助资金和物资用于受灾地区和灾民。</w:t>
      </w:r>
    </w:p>
    <w:p w14:paraId="322AD8D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黑体" w:cs="Times New Roman"/>
          <w:color w:val="auto"/>
          <w:spacing w:val="0"/>
          <w:sz w:val="32"/>
          <w:szCs w:val="32"/>
        </w:rPr>
      </w:pPr>
      <w:bookmarkStart w:id="63" w:name="bookmark30"/>
      <w:bookmarkEnd w:id="63"/>
      <w:bookmarkStart w:id="64" w:name="_Toc17910"/>
      <w:r>
        <w:rPr>
          <w:rFonts w:hint="default" w:ascii="Times New Roman" w:hAnsi="Times New Roman" w:eastAsia="黑体" w:cs="Times New Roman"/>
          <w:color w:val="auto"/>
          <w:spacing w:val="0"/>
          <w:sz w:val="32"/>
          <w:szCs w:val="32"/>
          <w:lang w:eastAsia="zh-CN"/>
        </w:rPr>
        <w:t>七</w:t>
      </w:r>
      <w:r>
        <w:rPr>
          <w:rFonts w:hint="default" w:ascii="Times New Roman" w:hAnsi="Times New Roman" w:eastAsia="黑体" w:cs="Times New Roman"/>
          <w:color w:val="auto"/>
          <w:spacing w:val="0"/>
          <w:sz w:val="32"/>
          <w:szCs w:val="32"/>
        </w:rPr>
        <w:t>、保障措施</w:t>
      </w:r>
      <w:bookmarkEnd w:id="64"/>
    </w:p>
    <w:p w14:paraId="30CE92D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65" w:name="bookmark31"/>
      <w:bookmarkEnd w:id="65"/>
      <w:bookmarkStart w:id="66" w:name="_Toc14147"/>
      <w:r>
        <w:rPr>
          <w:rFonts w:hint="default" w:ascii="Times New Roman" w:hAnsi="Times New Roman" w:eastAsia="楷体" w:cs="Times New Roman"/>
          <w:b w:val="0"/>
          <w:bCs w:val="0"/>
          <w:color w:val="auto"/>
          <w:spacing w:val="0"/>
          <w:sz w:val="32"/>
          <w:szCs w:val="32"/>
          <w:lang w:eastAsia="zh-CN"/>
        </w:rPr>
        <w:t>（一）信息保障</w:t>
      </w:r>
      <w:bookmarkEnd w:id="66"/>
    </w:p>
    <w:p w14:paraId="7FE3316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依托突发公共卫生事件信息系统纵向网络，综合运用计算机技术、网络技术和通讯技术，构建覆盖区卫健局、各级各类医疗机构的高效、快速、通畅、安全的信息网络系统，将网络触角延伸到社区卫生服务机构和村屯卫生室。</w:t>
      </w:r>
    </w:p>
    <w:p w14:paraId="49EBB96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加强法治建设，规范和完善公共卫生信息的收集、整理、分析，提高信息质量。</w:t>
      </w:r>
    </w:p>
    <w:p w14:paraId="73337A1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建立区突发公共卫生事件应急指挥部，提高医疗救治、公共卫生管理、科学决策以及突发公共卫生事件的应急指挥能力。</w:t>
      </w:r>
    </w:p>
    <w:p w14:paraId="18E03CA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67" w:name="bookmark32"/>
      <w:bookmarkEnd w:id="67"/>
      <w:bookmarkStart w:id="68" w:name="_Toc14013"/>
      <w:r>
        <w:rPr>
          <w:rFonts w:hint="default" w:ascii="Times New Roman" w:hAnsi="Times New Roman" w:eastAsia="楷体" w:cs="Times New Roman"/>
          <w:b w:val="0"/>
          <w:bCs w:val="0"/>
          <w:color w:val="auto"/>
          <w:spacing w:val="0"/>
          <w:sz w:val="32"/>
          <w:szCs w:val="32"/>
          <w:lang w:eastAsia="zh-CN"/>
        </w:rPr>
        <w:t>（二）人力资源保障</w:t>
      </w:r>
      <w:bookmarkEnd w:id="68"/>
    </w:p>
    <w:p w14:paraId="6D84447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1.应急医疗救治体系</w:t>
      </w:r>
    </w:p>
    <w:p w14:paraId="064342A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按照“中央指导、地方负责、统筹兼顾、平战结合、因地制宜、合理布局”的原则，结合向阳区实际情况，建立覆盖城乡、功能完善、响应灵敏、运转协调、持续发展的医疗救治体系。</w:t>
      </w:r>
    </w:p>
    <w:p w14:paraId="5D5FD35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2.应急医疗救治队伍</w:t>
      </w:r>
    </w:p>
    <w:p w14:paraId="403C451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按照“平急结合、因地制宜，分类管理、分级负责，统一管理、协调运转”的原则，区卫健局建立现场调查防控、伤病员救治、饮水等专业队伍。</w:t>
      </w:r>
    </w:p>
    <w:p w14:paraId="633366E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b/>
          <w:bCs/>
          <w:color w:val="auto"/>
          <w:spacing w:val="0"/>
          <w:sz w:val="32"/>
          <w:szCs w:val="32"/>
          <w:lang w:eastAsia="zh-CN"/>
        </w:rPr>
      </w:pPr>
      <w:r>
        <w:rPr>
          <w:rFonts w:hint="default" w:ascii="仿宋" w:hAnsi="仿宋" w:eastAsia="仿宋" w:cs="仿宋"/>
          <w:b/>
          <w:bCs/>
          <w:color w:val="auto"/>
          <w:spacing w:val="0"/>
          <w:sz w:val="32"/>
          <w:szCs w:val="32"/>
          <w:lang w:eastAsia="zh-CN"/>
        </w:rPr>
        <w:t>3.社会应急力量</w:t>
      </w:r>
    </w:p>
    <w:p w14:paraId="4600C80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区政府、街道办事处、村屯等要组织动员社会各方面力量，建立基层卫生应急救援队伍，完善突发卫生事件信息报告制度，加强日常管理和培训。</w:t>
      </w:r>
    </w:p>
    <w:p w14:paraId="270668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val="en-US" w:eastAsia="zh-CN"/>
        </w:rPr>
        <w:t>区团委</w:t>
      </w:r>
      <w:r>
        <w:rPr>
          <w:rFonts w:hint="default" w:ascii="仿宋" w:hAnsi="仿宋" w:eastAsia="仿宋" w:cs="仿宋"/>
          <w:color w:val="auto"/>
          <w:spacing w:val="0"/>
          <w:sz w:val="32"/>
          <w:szCs w:val="32"/>
          <w:lang w:eastAsia="zh-CN"/>
        </w:rPr>
        <w:t>、妇女联合会充分发挥青年团员、妇女组织的作用，鼓励社会团体、企事业单位以及志愿者等参与应急救援工作。</w:t>
      </w:r>
    </w:p>
    <w:p w14:paraId="3BF3D7F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69" w:name="bookmark33"/>
      <w:bookmarkEnd w:id="69"/>
      <w:bookmarkStart w:id="70" w:name="_Toc1186"/>
      <w:r>
        <w:rPr>
          <w:rFonts w:hint="default" w:ascii="Times New Roman" w:hAnsi="Times New Roman" w:eastAsia="楷体" w:cs="Times New Roman"/>
          <w:b w:val="0"/>
          <w:bCs w:val="0"/>
          <w:color w:val="auto"/>
          <w:spacing w:val="0"/>
          <w:sz w:val="32"/>
          <w:szCs w:val="32"/>
          <w:lang w:eastAsia="zh-CN"/>
        </w:rPr>
        <w:t>（三）物资保障</w:t>
      </w:r>
      <w:bookmarkEnd w:id="70"/>
    </w:p>
    <w:p w14:paraId="14AFE07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区政府依据有关法律法规和本预案，做好突发公共卫生事件应急物资和生产能力储备。</w:t>
      </w:r>
    </w:p>
    <w:p w14:paraId="3A43EE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发生突发公共卫生事件时，应根据应急处置工作需要调用储备物资。</w:t>
      </w:r>
    </w:p>
    <w:p w14:paraId="5B13563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储备物资种类主要包括药品、疫苗、消杀药械和防护、救治、检测设备及应急设施、生活必需品等。应急物资使用后要及时补充。</w:t>
      </w:r>
    </w:p>
    <w:p w14:paraId="0FDF10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71" w:name="bookmark34"/>
      <w:bookmarkEnd w:id="71"/>
      <w:bookmarkStart w:id="72" w:name="_Toc8873"/>
      <w:r>
        <w:rPr>
          <w:rFonts w:hint="default" w:ascii="Times New Roman" w:hAnsi="Times New Roman" w:eastAsia="楷体" w:cs="Times New Roman"/>
          <w:b w:val="0"/>
          <w:bCs w:val="0"/>
          <w:color w:val="auto"/>
          <w:spacing w:val="0"/>
          <w:sz w:val="32"/>
          <w:szCs w:val="32"/>
          <w:lang w:eastAsia="zh-CN"/>
        </w:rPr>
        <w:t>（四）经费保障</w:t>
      </w:r>
      <w:bookmarkEnd w:id="72"/>
    </w:p>
    <w:p w14:paraId="7B89429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区政府将卫生应急经费列入财政预算，保障卫生应急队伍培训、演练、装备补充及维护、应急物资储备、突发公共卫生事件应急处置等需要。</w:t>
      </w:r>
    </w:p>
    <w:p w14:paraId="5BCC5BE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73" w:name="bookmark35"/>
      <w:bookmarkEnd w:id="73"/>
      <w:bookmarkStart w:id="74" w:name="_Toc11104"/>
      <w:r>
        <w:rPr>
          <w:rFonts w:hint="default" w:ascii="Times New Roman" w:hAnsi="Times New Roman" w:eastAsia="楷体" w:cs="Times New Roman"/>
          <w:b w:val="0"/>
          <w:bCs w:val="0"/>
          <w:color w:val="auto"/>
          <w:spacing w:val="0"/>
          <w:sz w:val="32"/>
          <w:szCs w:val="32"/>
          <w:lang w:eastAsia="zh-CN"/>
        </w:rPr>
        <w:t>（五）生活保障</w:t>
      </w:r>
      <w:bookmarkEnd w:id="74"/>
    </w:p>
    <w:p w14:paraId="49EE2D2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突发公共卫生事件发生时，区政府要紧急组织调运应急救助资金和物资，及时向急需救助人员提供食品、饮用水、衣被、取暖、临时住所、卫生防疫等应急保障。</w:t>
      </w:r>
    </w:p>
    <w:p w14:paraId="5146ACD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要明确责任人，立足突发公共卫生事件现场实际，加强统筹和协调，做好参加应急处置人员的基本生活保障工作，积极为应急处置人员开展工作创造条件。</w:t>
      </w:r>
    </w:p>
    <w:p w14:paraId="1F60DFF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75" w:name="bookmark36"/>
      <w:bookmarkEnd w:id="75"/>
      <w:bookmarkStart w:id="76" w:name="_Toc15103"/>
      <w:r>
        <w:rPr>
          <w:rFonts w:hint="default" w:ascii="Times New Roman" w:hAnsi="Times New Roman" w:eastAsia="楷体" w:cs="Times New Roman"/>
          <w:b w:val="0"/>
          <w:bCs w:val="0"/>
          <w:color w:val="auto"/>
          <w:spacing w:val="0"/>
          <w:sz w:val="32"/>
          <w:szCs w:val="32"/>
          <w:lang w:eastAsia="zh-CN"/>
        </w:rPr>
        <w:t>（六）交通运输保障</w:t>
      </w:r>
      <w:bookmarkEnd w:id="76"/>
    </w:p>
    <w:p w14:paraId="627CBAE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交通运输主管部门要认真落实国家有关卫生应急交通运输保障政策措施，建立健全紧急运输保障体系，保障卫生应急处置人员和物资的优先安排、调度和通行。向阳交警大队要统一规范应急车辆标志，做好现场的交通管制工作。</w:t>
      </w:r>
    </w:p>
    <w:p w14:paraId="661A33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77" w:name="bookmark37"/>
      <w:bookmarkEnd w:id="77"/>
      <w:bookmarkStart w:id="78" w:name="_Toc22601"/>
      <w:r>
        <w:rPr>
          <w:rFonts w:hint="default" w:ascii="Times New Roman" w:hAnsi="Times New Roman" w:eastAsia="楷体" w:cs="Times New Roman"/>
          <w:b w:val="0"/>
          <w:bCs w:val="0"/>
          <w:color w:val="auto"/>
          <w:spacing w:val="0"/>
          <w:sz w:val="32"/>
          <w:szCs w:val="32"/>
          <w:lang w:eastAsia="zh-CN"/>
        </w:rPr>
        <w:t>（七）人员防护</w:t>
      </w:r>
      <w:bookmarkEnd w:id="78"/>
    </w:p>
    <w:p w14:paraId="16409A8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区政府要完善紧急疏散管理办法和程序，明确责任人，确保在紧急情况下公众安全、有序地转移或疏散。</w:t>
      </w:r>
    </w:p>
    <w:p w14:paraId="4774187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要为医疗救护人员和应急救援人员提供符合要求的安全防护装备，采取必要防护措施，严格按照程序科学开展突发公共卫生事件应急救援工作，确保人员安全。</w:t>
      </w:r>
    </w:p>
    <w:p w14:paraId="4BDB394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79" w:name="bookmark38"/>
      <w:bookmarkEnd w:id="79"/>
      <w:bookmarkStart w:id="80" w:name="_Toc32685"/>
      <w:r>
        <w:rPr>
          <w:rFonts w:hint="default" w:ascii="Times New Roman" w:hAnsi="Times New Roman" w:eastAsia="楷体" w:cs="Times New Roman"/>
          <w:b w:val="0"/>
          <w:bCs w:val="0"/>
          <w:color w:val="auto"/>
          <w:spacing w:val="0"/>
          <w:sz w:val="32"/>
          <w:szCs w:val="32"/>
          <w:lang w:eastAsia="zh-CN"/>
        </w:rPr>
        <w:t>（八）技术储备</w:t>
      </w:r>
      <w:bookmarkEnd w:id="80"/>
    </w:p>
    <w:p w14:paraId="34319E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有计划地开展应对突发公共卫生事件相关的科学研究，包括现场流行病学调查方法、实验室病原检测技术、药物治疗、应急响应装备、中医药及中西医结合防治等，做到技术上有所储备。同时，引进先进技术、装备和方法，提高应对突发公共卫生事件的整体水平。</w:t>
      </w:r>
    </w:p>
    <w:p w14:paraId="6E9008C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Times New Roman" w:hAnsi="Times New Roman" w:eastAsia="黑体" w:cs="Times New Roman"/>
          <w:color w:val="auto"/>
          <w:spacing w:val="0"/>
          <w:sz w:val="32"/>
          <w:szCs w:val="32"/>
          <w:lang w:eastAsia="zh-CN"/>
        </w:rPr>
      </w:pPr>
      <w:bookmarkStart w:id="81" w:name="bookmark39"/>
      <w:bookmarkEnd w:id="81"/>
      <w:bookmarkStart w:id="82" w:name="bookmark40"/>
      <w:bookmarkEnd w:id="82"/>
      <w:bookmarkStart w:id="83" w:name="_Toc8367"/>
      <w:r>
        <w:rPr>
          <w:rFonts w:hint="eastAsia" w:ascii="Times New Roman" w:hAnsi="Times New Roman" w:eastAsia="黑体" w:cs="Times New Roman"/>
          <w:color w:val="auto"/>
          <w:spacing w:val="0"/>
          <w:sz w:val="32"/>
          <w:szCs w:val="32"/>
          <w:lang w:eastAsia="zh-CN"/>
        </w:rPr>
        <w:t>八、监督管理</w:t>
      </w:r>
      <w:bookmarkEnd w:id="83"/>
    </w:p>
    <w:p w14:paraId="26AEE31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84" w:name="bookmark48"/>
      <w:bookmarkEnd w:id="84"/>
      <w:bookmarkStart w:id="85" w:name="_Toc31052"/>
      <w:r>
        <w:rPr>
          <w:rFonts w:hint="default" w:ascii="Times New Roman" w:hAnsi="Times New Roman" w:eastAsia="楷体" w:cs="Times New Roman"/>
          <w:b w:val="0"/>
          <w:bCs w:val="0"/>
          <w:color w:val="auto"/>
          <w:spacing w:val="0"/>
          <w:sz w:val="32"/>
          <w:szCs w:val="32"/>
          <w:lang w:eastAsia="zh-CN"/>
        </w:rPr>
        <w:t>（一）预案编制</w:t>
      </w:r>
      <w:bookmarkEnd w:id="85"/>
    </w:p>
    <w:p w14:paraId="1E49AC0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本预案由区卫健局组织编制，经区政府审议后，由区政府办公室印发执行。</w:t>
      </w:r>
    </w:p>
    <w:p w14:paraId="0B58C8B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86" w:name="bookmark41"/>
      <w:bookmarkEnd w:id="86"/>
      <w:bookmarkStart w:id="87" w:name="_Toc30968"/>
      <w:r>
        <w:rPr>
          <w:rFonts w:hint="default" w:ascii="Times New Roman" w:hAnsi="Times New Roman" w:eastAsia="楷体" w:cs="Times New Roman"/>
          <w:b w:val="0"/>
          <w:bCs w:val="0"/>
          <w:color w:val="auto"/>
          <w:spacing w:val="0"/>
          <w:sz w:val="32"/>
          <w:szCs w:val="32"/>
          <w:lang w:eastAsia="zh-CN"/>
        </w:rPr>
        <w:t>（二）预案演练</w:t>
      </w:r>
      <w:bookmarkEnd w:id="87"/>
    </w:p>
    <w:p w14:paraId="6818848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1.区卫健局至少每3年组织一次应急演练。</w:t>
      </w:r>
    </w:p>
    <w:p w14:paraId="0FA0C81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2.根据实际情况可采取实战演练、模拟演练、桌面推演等方式，做到人员广泛参与、针对性强，处置联动性强、形式多样、节约高效。</w:t>
      </w:r>
    </w:p>
    <w:p w14:paraId="262827A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3.应急预案演练前，区卫健局必须制订应急预案演练方案，并在演练开始前20天报区应急局备案，并按要求报市卫生健康委。</w:t>
      </w:r>
    </w:p>
    <w:p w14:paraId="6D8594E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color w:val="auto"/>
          <w:spacing w:val="0"/>
          <w:sz w:val="32"/>
          <w:szCs w:val="32"/>
          <w:lang w:eastAsia="zh-CN"/>
        </w:rPr>
        <w:t>4.演练结束后应当组织演练评估。</w:t>
      </w:r>
    </w:p>
    <w:p w14:paraId="38ADF89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88" w:name="bookmark42"/>
      <w:bookmarkEnd w:id="88"/>
      <w:bookmarkStart w:id="89" w:name="_Toc26650"/>
      <w:r>
        <w:rPr>
          <w:rFonts w:hint="default" w:ascii="Times New Roman" w:hAnsi="Times New Roman" w:eastAsia="楷体" w:cs="Times New Roman"/>
          <w:b w:val="0"/>
          <w:bCs w:val="0"/>
          <w:color w:val="auto"/>
          <w:spacing w:val="0"/>
          <w:sz w:val="32"/>
          <w:szCs w:val="32"/>
          <w:lang w:eastAsia="zh-CN"/>
        </w:rPr>
        <w:t>（三）宣传教育培训</w:t>
      </w:r>
      <w:bookmarkEnd w:id="89"/>
    </w:p>
    <w:p w14:paraId="0527C71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1.应急预案印发（转发）后1个月内，区卫健局应当通过编发培训材料、举办培训班、开展工作研讨等方式，对与应急预案实施密切相关的管理人员和专业救援人员等组织开展应急预案培训。</w:t>
      </w:r>
    </w:p>
    <w:p w14:paraId="620DF40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要采取多种、有效的途径加强宣传，广泛开展突发公共卫生事件预防、预警、避险、自救、互救和减灾等应急救援知识的普及工作，增强公众的社会责任意识和自救互救能力，提高公众的自我防范和社会救助能力。</w:t>
      </w:r>
    </w:p>
    <w:p w14:paraId="4C57AA9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3.各级各类学校要适时开展突发公共卫生事件预防和应急救助等方面的教育。</w:t>
      </w:r>
    </w:p>
    <w:p w14:paraId="5A38AB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90" w:name="bookmark43"/>
      <w:bookmarkEnd w:id="90"/>
      <w:bookmarkStart w:id="91" w:name="_Toc28719"/>
      <w:r>
        <w:rPr>
          <w:rFonts w:hint="default" w:ascii="Times New Roman" w:hAnsi="Times New Roman" w:eastAsia="楷体" w:cs="Times New Roman"/>
          <w:b w:val="0"/>
          <w:bCs w:val="0"/>
          <w:color w:val="auto"/>
          <w:spacing w:val="0"/>
          <w:sz w:val="32"/>
          <w:szCs w:val="32"/>
          <w:lang w:eastAsia="zh-CN"/>
        </w:rPr>
        <w:t>（四）预案更新</w:t>
      </w:r>
      <w:bookmarkEnd w:id="91"/>
    </w:p>
    <w:p w14:paraId="4B1E6AC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区卫健局应当建立定期评估制度，分析评价本预案内容的针对性、实用性和可操作性，实现应急预案的动态优化和科学规范管理。</w:t>
      </w:r>
    </w:p>
    <w:p w14:paraId="68F436B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有下列情形之一的，及时修订：</w:t>
      </w:r>
    </w:p>
    <w:p w14:paraId="7BE377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1.有关法律、行政法规、规章、标准、上位预案中的有关规定发生变化的；</w:t>
      </w:r>
    </w:p>
    <w:p w14:paraId="60676B8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2.应急指挥机构及其职责发生重大调整的；</w:t>
      </w:r>
    </w:p>
    <w:p w14:paraId="7A93EE3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3.面临的风险发生重大变化的；</w:t>
      </w:r>
    </w:p>
    <w:p w14:paraId="18273A6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4.重要应急资源发生重大变化的；</w:t>
      </w:r>
    </w:p>
    <w:p w14:paraId="33F7794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5.预案中的其他重要信息发生变化的；</w:t>
      </w:r>
    </w:p>
    <w:p w14:paraId="37F44AB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color w:val="auto"/>
          <w:spacing w:val="0"/>
          <w:sz w:val="32"/>
          <w:szCs w:val="32"/>
          <w:lang w:eastAsia="zh-CN"/>
        </w:rPr>
        <w:t>6.在突发事件实际应对和应急演练中发现问题需要做出重大调整的；</w:t>
      </w:r>
    </w:p>
    <w:p w14:paraId="31E2677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仿宋" w:hAnsi="仿宋" w:eastAsia="仿宋" w:cs="仿宋"/>
          <w:color w:val="auto"/>
          <w:spacing w:val="0"/>
          <w:sz w:val="32"/>
          <w:szCs w:val="32"/>
          <w:lang w:eastAsia="zh-CN"/>
        </w:rPr>
        <w:t>7.应急预案制定单位认为应当修订的其他情况。</w:t>
      </w:r>
    </w:p>
    <w:p w14:paraId="55A7B05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92" w:name="bookmark44"/>
      <w:bookmarkEnd w:id="92"/>
      <w:bookmarkStart w:id="93" w:name="_Toc14256"/>
      <w:r>
        <w:rPr>
          <w:rFonts w:hint="default" w:ascii="Times New Roman" w:hAnsi="Times New Roman" w:eastAsia="楷体" w:cs="Times New Roman"/>
          <w:b w:val="0"/>
          <w:bCs w:val="0"/>
          <w:color w:val="auto"/>
          <w:spacing w:val="0"/>
          <w:sz w:val="32"/>
          <w:szCs w:val="32"/>
          <w:lang w:eastAsia="zh-CN"/>
        </w:rPr>
        <w:t>（五）生效</w:t>
      </w:r>
      <w:bookmarkEnd w:id="93"/>
    </w:p>
    <w:p w14:paraId="1D250C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本预案经区政府审议、批准，自印发之日起生效。</w:t>
      </w:r>
    </w:p>
    <w:p w14:paraId="3164AB4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default" w:ascii="Times New Roman" w:hAnsi="Times New Roman" w:eastAsia="楷体" w:cs="Times New Roman"/>
          <w:b w:val="0"/>
          <w:bCs w:val="0"/>
          <w:color w:val="auto"/>
          <w:spacing w:val="0"/>
          <w:sz w:val="32"/>
          <w:szCs w:val="32"/>
          <w:lang w:eastAsia="zh-CN"/>
        </w:rPr>
      </w:pPr>
      <w:bookmarkStart w:id="94" w:name="bookmark45"/>
      <w:bookmarkEnd w:id="94"/>
      <w:bookmarkStart w:id="95" w:name="_Toc24922"/>
      <w:r>
        <w:rPr>
          <w:rFonts w:hint="default" w:ascii="Times New Roman" w:hAnsi="Times New Roman" w:eastAsia="楷体" w:cs="Times New Roman"/>
          <w:b w:val="0"/>
          <w:bCs w:val="0"/>
          <w:color w:val="auto"/>
          <w:spacing w:val="0"/>
          <w:sz w:val="32"/>
          <w:szCs w:val="32"/>
          <w:lang w:eastAsia="zh-CN"/>
        </w:rPr>
        <w:t>（六）名词术语</w:t>
      </w:r>
      <w:bookmarkEnd w:id="95"/>
    </w:p>
    <w:p w14:paraId="7E0BBFD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1.突发公共卫生事件：</w:t>
      </w:r>
      <w:r>
        <w:rPr>
          <w:rFonts w:hint="eastAsia" w:ascii="仿宋" w:hAnsi="仿宋" w:eastAsia="仿宋" w:cs="仿宋"/>
          <w:color w:val="auto"/>
          <w:spacing w:val="0"/>
          <w:sz w:val="32"/>
          <w:szCs w:val="32"/>
          <w:lang w:eastAsia="zh-CN"/>
        </w:rPr>
        <w:t>是指突然发生，造成或者可能造成社会公众健康严重损害的重大传染病疫情、群体性不明原因疾病、重大食物和职业中毒以及其他严重影响公众健康的事件。</w:t>
      </w:r>
    </w:p>
    <w:p w14:paraId="23CBC7B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eastAsia="zh-CN"/>
        </w:rPr>
        <w:t>2.重大传染病疫情：</w:t>
      </w:r>
      <w:r>
        <w:rPr>
          <w:rFonts w:hint="eastAsia" w:ascii="仿宋" w:hAnsi="仿宋" w:eastAsia="仿宋" w:cs="仿宋"/>
          <w:color w:val="auto"/>
          <w:spacing w:val="0"/>
          <w:sz w:val="32"/>
          <w:szCs w:val="32"/>
          <w:lang w:eastAsia="zh-CN"/>
        </w:rPr>
        <w:t>是指某种传染病在短时间内发生、波及范围广泛，出现大量的病人或死亡病例，其发病率远远超过常年的发病率水平。</w:t>
      </w:r>
    </w:p>
    <w:p w14:paraId="5BBA8AA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3.群体性不明原因疾病：</w:t>
      </w:r>
      <w:r>
        <w:rPr>
          <w:rFonts w:hint="default" w:ascii="仿宋" w:hAnsi="仿宋" w:eastAsia="仿宋" w:cs="仿宋"/>
          <w:color w:val="auto"/>
          <w:spacing w:val="0"/>
          <w:sz w:val="32"/>
          <w:szCs w:val="32"/>
          <w:lang w:eastAsia="zh-CN"/>
        </w:rPr>
        <w:t>是指在短时间内，某个相对集中的区域内同时或者相继出现具有共同临床表现患者，且病例不断增加，范围不断扩大，又暂时不能明确诊断的疾病。</w:t>
      </w:r>
    </w:p>
    <w:p w14:paraId="1E671A1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4.重大食物和职业中毒：</w:t>
      </w:r>
      <w:r>
        <w:rPr>
          <w:rFonts w:hint="default" w:ascii="仿宋" w:hAnsi="仿宋" w:eastAsia="仿宋" w:cs="仿宋"/>
          <w:color w:val="auto"/>
          <w:spacing w:val="0"/>
          <w:sz w:val="32"/>
          <w:szCs w:val="32"/>
          <w:lang w:eastAsia="zh-CN"/>
        </w:rPr>
        <w:t>是指由于食品污染和职业危害的原因而造成的人数众多或者伤亡较重的中毒事件。</w:t>
      </w:r>
    </w:p>
    <w:p w14:paraId="745FC46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5.新传染病：</w:t>
      </w:r>
      <w:r>
        <w:rPr>
          <w:rFonts w:hint="default" w:ascii="仿宋" w:hAnsi="仿宋" w:eastAsia="仿宋" w:cs="仿宋"/>
          <w:color w:val="auto"/>
          <w:spacing w:val="0"/>
          <w:sz w:val="32"/>
          <w:szCs w:val="32"/>
          <w:lang w:eastAsia="zh-CN"/>
        </w:rPr>
        <w:t>是指全球首次发现的传染病。</w:t>
      </w:r>
    </w:p>
    <w:p w14:paraId="18FDC50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pPr>
      <w:r>
        <w:rPr>
          <w:rFonts w:hint="default" w:ascii="仿宋" w:hAnsi="仿宋" w:eastAsia="仿宋" w:cs="仿宋"/>
          <w:b/>
          <w:bCs/>
          <w:color w:val="auto"/>
          <w:spacing w:val="0"/>
          <w:sz w:val="32"/>
          <w:szCs w:val="32"/>
          <w:lang w:eastAsia="zh-CN"/>
        </w:rPr>
        <w:t>6.我国尚未发现传染病：</w:t>
      </w:r>
      <w:r>
        <w:rPr>
          <w:rFonts w:hint="default" w:ascii="仿宋" w:hAnsi="仿宋" w:eastAsia="仿宋" w:cs="仿宋"/>
          <w:color w:val="auto"/>
          <w:spacing w:val="0"/>
          <w:sz w:val="32"/>
          <w:szCs w:val="32"/>
          <w:lang w:eastAsia="zh-CN"/>
        </w:rPr>
        <w:t>是指埃博拉、猴痘、黄热病、变异性克雅氏病等在其他国家和地区已经发现，在我国尚未发现过的传染病。</w:t>
      </w:r>
    </w:p>
    <w:p w14:paraId="5A7BBC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color w:val="auto"/>
          <w:spacing w:val="0"/>
          <w:sz w:val="32"/>
          <w:szCs w:val="32"/>
          <w:lang w:eastAsia="zh-CN"/>
        </w:rPr>
        <w:sectPr>
          <w:footerReference r:id="rId4" w:type="default"/>
          <w:pgSz w:w="11906" w:h="16839"/>
          <w:pgMar w:top="1431" w:right="1485" w:bottom="1355" w:left="1599" w:header="0" w:footer="1117" w:gutter="0"/>
          <w:pgNumType w:fmt="decimal" w:start="1"/>
          <w:cols w:space="720" w:num="1"/>
        </w:sectPr>
      </w:pPr>
      <w:r>
        <w:rPr>
          <w:rFonts w:hint="default" w:ascii="仿宋" w:hAnsi="仿宋" w:eastAsia="仿宋" w:cs="仿宋"/>
          <w:b/>
          <w:bCs/>
          <w:color w:val="auto"/>
          <w:spacing w:val="0"/>
          <w:sz w:val="32"/>
          <w:szCs w:val="32"/>
          <w:lang w:eastAsia="zh-CN"/>
        </w:rPr>
        <w:t>7.我国已消灭传染病：</w:t>
      </w:r>
      <w:r>
        <w:rPr>
          <w:rFonts w:hint="default" w:ascii="仿宋" w:hAnsi="仿宋" w:eastAsia="仿宋" w:cs="仿宋"/>
          <w:color w:val="auto"/>
          <w:spacing w:val="0"/>
          <w:sz w:val="32"/>
          <w:szCs w:val="32"/>
          <w:lang w:eastAsia="zh-CN"/>
        </w:rPr>
        <w:t>是指天花、脊髓灰质炎等传染病。</w:t>
      </w:r>
      <w:bookmarkStart w:id="96" w:name="bookmark46"/>
      <w:bookmarkEnd w:id="96"/>
    </w:p>
    <w:p w14:paraId="23CE9A3F">
      <w:pPr>
        <w:pStyle w:val="4"/>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97" w:name="_Toc24583"/>
      <w:bookmarkStart w:id="98" w:name="_Toc6564"/>
      <w:bookmarkStart w:id="99" w:name="_Toc17799"/>
      <w:r>
        <w:rPr>
          <w:rFonts w:hint="eastAsia" w:ascii="黑体" w:hAnsi="黑体" w:eastAsia="黑体" w:cs="黑体"/>
          <w:color w:val="auto"/>
          <w:spacing w:val="0"/>
          <w:sz w:val="32"/>
          <w:szCs w:val="32"/>
          <w:lang w:eastAsia="zh-CN"/>
        </w:rPr>
        <w:t>九、附件</w:t>
      </w:r>
      <w:bookmarkEnd w:id="97"/>
      <w:bookmarkEnd w:id="98"/>
      <w:bookmarkEnd w:id="99"/>
    </w:p>
    <w:p w14:paraId="34872FD1">
      <w:pPr>
        <w:pStyle w:val="15"/>
        <w:rPr>
          <w:rFonts w:hint="eastAsia" w:ascii="仿宋" w:hAnsi="仿宋" w:eastAsia="仿宋" w:cs="仿宋"/>
          <w:b w:val="0"/>
          <w:bCs w:val="0"/>
          <w:color w:val="auto"/>
          <w:spacing w:val="0"/>
          <w:sz w:val="32"/>
          <w:szCs w:val="32"/>
          <w:lang w:val="zh-CN" w:eastAsia="zh-CN" w:bidi="zh-CN"/>
        </w:rPr>
        <w:sectPr>
          <w:footerReference r:id="rId5" w:type="default"/>
          <w:pgSz w:w="11910" w:h="16840"/>
          <w:pgMar w:top="1540" w:right="1340" w:bottom="1320" w:left="1480" w:header="0" w:footer="1135" w:gutter="0"/>
          <w:pgNumType w:fmt="decimal"/>
          <w:cols w:space="720" w:num="1"/>
        </w:sectPr>
      </w:pPr>
      <w:bookmarkStart w:id="100" w:name="_Toc12449"/>
      <w:r>
        <w:rPr>
          <w:rFonts w:hint="eastAsia" w:ascii="仿宋" w:hAnsi="仿宋" w:eastAsia="仿宋" w:cs="仿宋"/>
          <w:b w:val="0"/>
          <w:bCs w:val="0"/>
          <w:color w:val="auto"/>
          <w:spacing w:val="0"/>
          <w:sz w:val="32"/>
          <w:szCs w:val="32"/>
          <w:lang w:eastAsia="zh-CN"/>
        </w:rPr>
        <w:t>附件：</w:t>
      </w:r>
      <w:bookmarkEnd w:id="100"/>
      <w:r>
        <w:rPr>
          <w:rFonts w:hint="eastAsia" w:ascii="仿宋" w:hAnsi="仿宋" w:eastAsia="仿宋" w:cs="仿宋"/>
          <w:b w:val="0"/>
          <w:bCs w:val="0"/>
          <w:color w:val="auto"/>
          <w:spacing w:val="0"/>
          <w:sz w:val="32"/>
          <w:szCs w:val="32"/>
          <w:lang w:val="zh-CN" w:eastAsia="zh-CN" w:bidi="zh-CN"/>
        </w:rPr>
        <w:t>风险分级管控及评价方法</w:t>
      </w:r>
    </w:p>
    <w:p w14:paraId="528B1984">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color w:val="auto"/>
          <w:spacing w:val="0"/>
          <w:sz w:val="32"/>
          <w:szCs w:val="32"/>
          <w:lang w:val="en-US" w:eastAsia="zh-CN" w:bidi="zh-CN"/>
        </w:rPr>
      </w:pPr>
      <w:bookmarkStart w:id="101" w:name="_Toc15518"/>
      <w:bookmarkStart w:id="102" w:name="_Toc4212"/>
      <w:r>
        <w:rPr>
          <w:rFonts w:hint="eastAsia" w:ascii="黑体" w:hAnsi="黑体" w:eastAsia="黑体" w:cs="黑体"/>
          <w:color w:val="auto"/>
          <w:spacing w:val="0"/>
          <w:sz w:val="32"/>
          <w:szCs w:val="32"/>
          <w:lang w:val="en-US" w:eastAsia="zh-CN" w:bidi="zh-CN"/>
        </w:rPr>
        <w:t>附件</w:t>
      </w:r>
      <w:bookmarkEnd w:id="101"/>
      <w:bookmarkEnd w:id="102"/>
    </w:p>
    <w:p w14:paraId="21E8B177">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color w:val="auto"/>
          <w:lang w:val="zh-CN" w:eastAsia="zh-CN"/>
        </w:rPr>
      </w:pPr>
    </w:p>
    <w:p w14:paraId="2EED0193">
      <w:pPr>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bookmarkStart w:id="103" w:name="_Toc14470"/>
      <w:bookmarkStart w:id="104" w:name="_Toc23571"/>
      <w:bookmarkStart w:id="105" w:name="_Toc8861"/>
      <w:r>
        <w:rPr>
          <w:rFonts w:hint="eastAsia" w:ascii="方正小标宋简体" w:hAnsi="方正小标宋简体" w:eastAsia="方正小标宋简体" w:cs="方正小标宋简体"/>
          <w:b w:val="0"/>
          <w:bCs w:val="0"/>
          <w:snapToGrid w:val="0"/>
          <w:color w:val="auto"/>
          <w:spacing w:val="0"/>
          <w:sz w:val="44"/>
          <w:szCs w:val="44"/>
          <w:lang w:val="en-US" w:eastAsia="zh-CN" w:bidi="ar-SA"/>
        </w:rPr>
        <w:t>风险分级管控及评价方法</w:t>
      </w:r>
      <w:bookmarkEnd w:id="103"/>
      <w:bookmarkEnd w:id="104"/>
      <w:bookmarkEnd w:id="105"/>
    </w:p>
    <w:p w14:paraId="47C0CA6F">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color w:val="auto"/>
          <w:lang w:val="en-US" w:eastAsia="zh-CN"/>
        </w:rPr>
      </w:pPr>
    </w:p>
    <w:p w14:paraId="5D36677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LS法安全风险评价判定准则</w:t>
      </w:r>
    </w:p>
    <w:p w14:paraId="536080B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z w:val="32"/>
          <w:szCs w:val="32"/>
          <w:lang w:val="zh-CN" w:eastAsia="zh-CN" w:bidi="zh-CN"/>
        </w:rPr>
      </w:pPr>
      <w:r>
        <w:rPr>
          <w:rFonts w:hint="eastAsia" w:ascii="仿宋" w:hAnsi="仿宋" w:eastAsia="仿宋" w:cs="仿宋"/>
          <w:b/>
          <w:bCs/>
          <w:color w:val="auto"/>
          <w:sz w:val="32"/>
          <w:szCs w:val="32"/>
          <w:lang w:val="zh-CN" w:eastAsia="zh-CN" w:bidi="zh-CN"/>
        </w:rPr>
        <w:t>1.风险矩阵法的主要内容是：</w:t>
      </w:r>
      <w:r>
        <w:rPr>
          <w:rFonts w:hint="eastAsia" w:ascii="仿宋" w:hAnsi="仿宋" w:eastAsia="仿宋" w:cs="仿宋"/>
          <w:color w:val="auto"/>
          <w:sz w:val="32"/>
          <w:szCs w:val="32"/>
          <w:lang w:val="zh-CN" w:eastAsia="zh-CN" w:bidi="zh-CN"/>
        </w:rPr>
        <w:t>识别出存在的风险，分析和评价风险事件发生的可能性和后果，二者相乘，得出风险的风险值，确定风险级别，进而决定应当采取的风险控制措施。</w:t>
      </w:r>
    </w:p>
    <w:p w14:paraId="069C377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数学表达式为：R=L×S，其中，</w:t>
      </w:r>
    </w:p>
    <w:p w14:paraId="213F87F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R代表风险值；</w:t>
      </w:r>
    </w:p>
    <w:p w14:paraId="353FF44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L代表风险事件发生可能性；</w:t>
      </w:r>
    </w:p>
    <w:p w14:paraId="3FDF759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S代表风险事件后果严重程度。</w:t>
      </w:r>
    </w:p>
    <w:p w14:paraId="71B8B4B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z w:val="32"/>
          <w:szCs w:val="32"/>
          <w:lang w:val="zh-CN" w:eastAsia="zh-CN" w:bidi="zh-CN"/>
        </w:rPr>
      </w:pPr>
      <w:r>
        <w:rPr>
          <w:rFonts w:hint="eastAsia" w:ascii="仿宋" w:hAnsi="仿宋" w:eastAsia="仿宋" w:cs="仿宋"/>
          <w:b/>
          <w:bCs/>
          <w:color w:val="auto"/>
          <w:sz w:val="32"/>
          <w:szCs w:val="32"/>
          <w:lang w:val="zh-CN" w:eastAsia="zh-CN" w:bidi="zh-CN"/>
        </w:rPr>
        <w:t>2.风险事件发生可能性（L）取值</w:t>
      </w:r>
    </w:p>
    <w:p w14:paraId="66F4347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1C96847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事件发生的可能性（L）用事件发生的概率表示，取值如下表所示：</w:t>
      </w:r>
    </w:p>
    <w:p w14:paraId="419E1755">
      <w:pPr>
        <w:pStyle w:val="2"/>
        <w:rPr>
          <w:rFonts w:hint="eastAsia"/>
          <w:color w:val="auto"/>
          <w:lang w:val="zh-CN" w:eastAsia="zh-CN"/>
        </w:rPr>
      </w:pPr>
    </w:p>
    <w:p w14:paraId="48A523F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color w:val="auto"/>
          <w:sz w:val="32"/>
          <w:szCs w:val="32"/>
          <w:lang w:val="zh-CN" w:eastAsia="zh-CN" w:bidi="zh-CN"/>
        </w:rPr>
      </w:pPr>
      <w:r>
        <w:rPr>
          <w:rFonts w:hint="eastAsia" w:ascii="仿宋" w:hAnsi="仿宋" w:eastAsia="仿宋" w:cs="仿宋"/>
          <w:b/>
          <w:bCs/>
          <w:color w:val="auto"/>
          <w:sz w:val="32"/>
          <w:szCs w:val="32"/>
          <w:lang w:val="zh-CN" w:eastAsia="zh-CN" w:bidi="zh-CN"/>
        </w:rPr>
        <w:t>风险事件发生可能性（L）参考取值表</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1034"/>
        <w:gridCol w:w="1553"/>
        <w:gridCol w:w="1648"/>
        <w:gridCol w:w="2359"/>
        <w:gridCol w:w="1444"/>
      </w:tblGrid>
      <w:tr w14:paraId="2381C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tcW w:w="464" w:type="dxa"/>
            <w:shd w:val="clear" w:color="auto" w:fill="auto"/>
            <w:vAlign w:val="center"/>
          </w:tcPr>
          <w:p w14:paraId="27DFA933">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L</w:t>
            </w:r>
          </w:p>
        </w:tc>
        <w:tc>
          <w:tcPr>
            <w:tcW w:w="1034" w:type="dxa"/>
            <w:shd w:val="clear" w:color="auto" w:fill="auto"/>
            <w:vAlign w:val="center"/>
          </w:tcPr>
          <w:p w14:paraId="36911DC9">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参考频率</w:t>
            </w:r>
          </w:p>
        </w:tc>
        <w:tc>
          <w:tcPr>
            <w:tcW w:w="1553" w:type="dxa"/>
            <w:shd w:val="clear" w:color="auto" w:fill="auto"/>
            <w:vAlign w:val="center"/>
          </w:tcPr>
          <w:p w14:paraId="12623871">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人员情况</w:t>
            </w:r>
          </w:p>
        </w:tc>
        <w:tc>
          <w:tcPr>
            <w:tcW w:w="1648" w:type="dxa"/>
            <w:shd w:val="clear" w:color="auto" w:fill="auto"/>
            <w:vAlign w:val="center"/>
          </w:tcPr>
          <w:p w14:paraId="7ACC13E0">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设备设施、工器具及材料</w:t>
            </w:r>
          </w:p>
        </w:tc>
        <w:tc>
          <w:tcPr>
            <w:shd w:val="clear" w:color="auto" w:fill="auto"/>
            <w:vAlign w:val="center"/>
          </w:tcPr>
          <w:p w14:paraId="2DA97470">
            <w:pPr>
              <w:widowControl w:val="0"/>
              <w:autoSpaceDE w:val="0"/>
              <w:autoSpaceDN w:val="0"/>
              <w:spacing w:before="60" w:after="60"/>
              <w:ind w:left="108" w:firstLine="0" w:firstLineChars="0"/>
              <w:jc w:val="center"/>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环境</w:t>
            </w:r>
          </w:p>
          <w:p w14:paraId="59BD0ADD">
            <w:pPr>
              <w:widowControl w:val="0"/>
              <w:autoSpaceDE w:val="0"/>
              <w:autoSpaceDN w:val="0"/>
              <w:spacing w:before="60" w:after="60"/>
              <w:ind w:left="108" w:firstLine="0" w:firstLineChars="0"/>
              <w:jc w:val="center"/>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状况</w:t>
            </w:r>
          </w:p>
        </w:tc>
        <w:tc>
          <w:tcPr>
            <w:shd w:val="clear" w:color="auto" w:fill="auto"/>
            <w:vAlign w:val="center"/>
          </w:tcPr>
          <w:p w14:paraId="7E51183B">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规程和针对性管理方案</w:t>
            </w:r>
          </w:p>
        </w:tc>
      </w:tr>
      <w:tr w14:paraId="601C9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3CE4B57F">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5</w:t>
            </w:r>
          </w:p>
        </w:tc>
        <w:tc>
          <w:tcPr>
            <w:tcW w:w="1034" w:type="dxa"/>
            <w:shd w:val="clear" w:color="auto" w:fill="auto"/>
            <w:textDirection w:val="tbLrV"/>
            <w:vAlign w:val="center"/>
          </w:tcPr>
          <w:p w14:paraId="6583A8A9">
            <w:pPr>
              <w:widowControl w:val="0"/>
              <w:autoSpaceDE w:val="0"/>
              <w:autoSpaceDN w:val="0"/>
              <w:spacing w:before="60" w:after="60"/>
              <w:ind w:left="108" w:leftChars="0" w:right="113"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本企业一年内发生过</w:t>
            </w:r>
          </w:p>
        </w:tc>
        <w:tc>
          <w:tcPr>
            <w:tcW w:w="1553" w:type="dxa"/>
            <w:shd w:val="clear" w:color="auto" w:fill="auto"/>
            <w:vAlign w:val="center"/>
          </w:tcPr>
          <w:p w14:paraId="56EC70BB">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无培训，无经验</w:t>
            </w:r>
          </w:p>
        </w:tc>
        <w:tc>
          <w:tcPr>
            <w:tcW w:w="1648" w:type="dxa"/>
            <w:shd w:val="clear" w:color="auto" w:fill="auto"/>
            <w:vAlign w:val="center"/>
          </w:tcPr>
          <w:p w14:paraId="6B6D9CF0">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超期运行或超检验期</w:t>
            </w:r>
          </w:p>
        </w:tc>
        <w:tc>
          <w:tcPr>
            <w:shd w:val="clear" w:color="auto" w:fill="auto"/>
            <w:vAlign w:val="center"/>
          </w:tcPr>
          <w:p w14:paraId="221A4A92">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危险化学品生产贮存区域；存在或可能产生危害气体</w:t>
            </w:r>
          </w:p>
        </w:tc>
        <w:tc>
          <w:tcPr>
            <w:shd w:val="clear" w:color="auto" w:fill="auto"/>
            <w:vAlign w:val="center"/>
          </w:tcPr>
          <w:p w14:paraId="131F9713">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没有</w:t>
            </w:r>
          </w:p>
        </w:tc>
      </w:tr>
      <w:tr w14:paraId="30FC14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133AC23B">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4</w:t>
            </w:r>
          </w:p>
        </w:tc>
        <w:tc>
          <w:tcPr>
            <w:tcW w:w="1034" w:type="dxa"/>
            <w:shd w:val="clear" w:color="auto" w:fill="auto"/>
            <w:textDirection w:val="tbLrV"/>
            <w:vAlign w:val="center"/>
          </w:tcPr>
          <w:p w14:paraId="74F80BC4">
            <w:pPr>
              <w:widowControl w:val="0"/>
              <w:autoSpaceDE w:val="0"/>
              <w:autoSpaceDN w:val="0"/>
              <w:spacing w:before="60" w:after="60"/>
              <w:ind w:left="108" w:leftChars="0" w:right="113"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本集团一年内发生过</w:t>
            </w:r>
          </w:p>
        </w:tc>
        <w:tc>
          <w:tcPr>
            <w:tcW w:w="1553" w:type="dxa"/>
            <w:shd w:val="clear" w:color="auto" w:fill="auto"/>
            <w:vAlign w:val="center"/>
          </w:tcPr>
          <w:p w14:paraId="72EAE9DF">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有培训但培训时间不够或未达成效果</w:t>
            </w:r>
          </w:p>
        </w:tc>
        <w:tc>
          <w:tcPr>
            <w:tcW w:w="1648" w:type="dxa"/>
            <w:shd w:val="clear" w:color="auto" w:fill="auto"/>
            <w:vAlign w:val="center"/>
          </w:tcPr>
          <w:p w14:paraId="5FDF3267">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保护自动装置功能不完善，存在质量缺陷</w:t>
            </w:r>
          </w:p>
        </w:tc>
        <w:tc>
          <w:tcPr>
            <w:shd w:val="clear" w:color="auto" w:fill="auto"/>
            <w:vAlign w:val="center"/>
          </w:tcPr>
          <w:p w14:paraId="4ADBD6DF">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作业空间受限；作业立体交叉；恶劣气象条件；高空或在运行设备设施上作业</w:t>
            </w:r>
          </w:p>
        </w:tc>
        <w:tc>
          <w:tcPr>
            <w:shd w:val="clear" w:color="auto" w:fill="auto"/>
            <w:vAlign w:val="center"/>
          </w:tcPr>
          <w:p w14:paraId="1DC2B1A4">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有，但不完善，且只偶尔执行</w:t>
            </w:r>
          </w:p>
        </w:tc>
      </w:tr>
      <w:tr w14:paraId="6EB68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05A37A72">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3</w:t>
            </w:r>
          </w:p>
        </w:tc>
        <w:tc>
          <w:tcPr>
            <w:tcW w:w="1034" w:type="dxa"/>
            <w:shd w:val="clear" w:color="auto" w:fill="auto"/>
            <w:textDirection w:val="tbLrV"/>
            <w:vAlign w:val="center"/>
          </w:tcPr>
          <w:p w14:paraId="00F3EE6C">
            <w:pPr>
              <w:widowControl w:val="0"/>
              <w:autoSpaceDE w:val="0"/>
              <w:autoSpaceDN w:val="0"/>
              <w:spacing w:before="60" w:after="60"/>
              <w:ind w:left="108" w:leftChars="0" w:right="113"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本行业一年内发生过</w:t>
            </w:r>
          </w:p>
        </w:tc>
        <w:tc>
          <w:tcPr>
            <w:tcW w:w="1553" w:type="dxa"/>
            <w:shd w:val="clear" w:color="auto" w:fill="auto"/>
            <w:vAlign w:val="center"/>
          </w:tcPr>
          <w:p w14:paraId="1A955D46">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经验不足，多次出现差错</w:t>
            </w:r>
          </w:p>
        </w:tc>
        <w:tc>
          <w:tcPr>
            <w:tcW w:w="1648" w:type="dxa"/>
            <w:shd w:val="clear" w:color="auto" w:fill="auto"/>
            <w:vAlign w:val="center"/>
          </w:tcPr>
          <w:p w14:paraId="58EAADE2">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基本完好，但安全装置不完善</w:t>
            </w:r>
          </w:p>
        </w:tc>
        <w:tc>
          <w:tcPr>
            <w:shd w:val="clear" w:color="auto" w:fill="auto"/>
            <w:vAlign w:val="center"/>
          </w:tcPr>
          <w:p w14:paraId="4C471823">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通风、光照或温度需要采取措施才能作业；周围有运行设备；立面有同时作业</w:t>
            </w:r>
          </w:p>
        </w:tc>
        <w:tc>
          <w:tcPr>
            <w:shd w:val="clear" w:color="auto" w:fill="auto"/>
            <w:vAlign w:val="center"/>
          </w:tcPr>
          <w:p w14:paraId="0358AF2C">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有，较完善，但只部分执行</w:t>
            </w:r>
          </w:p>
        </w:tc>
      </w:tr>
      <w:tr w14:paraId="69DE9A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7EAD39DF">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2</w:t>
            </w:r>
          </w:p>
        </w:tc>
        <w:tc>
          <w:tcPr>
            <w:tcW w:w="1034" w:type="dxa"/>
            <w:shd w:val="clear" w:color="auto" w:fill="auto"/>
            <w:textDirection w:val="tbLrV"/>
            <w:vAlign w:val="center"/>
          </w:tcPr>
          <w:p w14:paraId="540D828B">
            <w:pPr>
              <w:widowControl w:val="0"/>
              <w:autoSpaceDE w:val="0"/>
              <w:autoSpaceDN w:val="0"/>
              <w:spacing w:before="60" w:after="60"/>
              <w:ind w:left="108" w:leftChars="0" w:right="113"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全国范围一年内发生过</w:t>
            </w:r>
          </w:p>
        </w:tc>
        <w:tc>
          <w:tcPr>
            <w:tcW w:w="1553" w:type="dxa"/>
            <w:shd w:val="clear" w:color="auto" w:fill="auto"/>
            <w:vAlign w:val="center"/>
          </w:tcPr>
          <w:p w14:paraId="5556A918">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偶尔出现差错</w:t>
            </w:r>
          </w:p>
        </w:tc>
        <w:tc>
          <w:tcPr>
            <w:tcW w:w="1648" w:type="dxa"/>
            <w:shd w:val="clear" w:color="auto" w:fill="auto"/>
            <w:vAlign w:val="center"/>
          </w:tcPr>
          <w:p w14:paraId="11BD78A1">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总体完好，但有缺陷</w:t>
            </w:r>
          </w:p>
        </w:tc>
        <w:tc>
          <w:tcPr>
            <w:shd w:val="clear" w:color="auto" w:fill="auto"/>
            <w:vAlign w:val="center"/>
          </w:tcPr>
          <w:p w14:paraId="1D440776">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通风、光照或温度不影响作业；系统停运；同一作业面有其它作业</w:t>
            </w:r>
          </w:p>
        </w:tc>
        <w:tc>
          <w:tcPr>
            <w:shd w:val="clear" w:color="auto" w:fill="auto"/>
            <w:vAlign w:val="center"/>
          </w:tcPr>
          <w:p w14:paraId="26C3BFD8">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有，完善，但偶尔不执行</w:t>
            </w:r>
          </w:p>
        </w:tc>
      </w:tr>
      <w:tr w14:paraId="6AE21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09297AF5">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1</w:t>
            </w:r>
          </w:p>
        </w:tc>
        <w:tc>
          <w:tcPr>
            <w:tcW w:w="1034" w:type="dxa"/>
            <w:shd w:val="clear" w:color="auto" w:fill="auto"/>
            <w:textDirection w:val="tbLrV"/>
            <w:vAlign w:val="center"/>
          </w:tcPr>
          <w:p w14:paraId="5A0E6E63">
            <w:pPr>
              <w:widowControl w:val="0"/>
              <w:autoSpaceDE w:val="0"/>
              <w:autoSpaceDN w:val="0"/>
              <w:spacing w:before="60" w:after="60"/>
              <w:ind w:left="108" w:leftChars="0" w:right="113"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从未发生过</w:t>
            </w:r>
          </w:p>
        </w:tc>
        <w:tc>
          <w:tcPr>
            <w:tcW w:w="1553" w:type="dxa"/>
            <w:shd w:val="clear" w:color="auto" w:fill="auto"/>
            <w:vAlign w:val="center"/>
          </w:tcPr>
          <w:p w14:paraId="2F21234A">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培训充分，经验丰富，安全意识强</w:t>
            </w:r>
          </w:p>
        </w:tc>
        <w:tc>
          <w:tcPr>
            <w:tcW w:w="1648" w:type="dxa"/>
            <w:shd w:val="clear" w:color="auto" w:fill="auto"/>
            <w:vAlign w:val="center"/>
          </w:tcPr>
          <w:p w14:paraId="57517E18">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完好，无缺陷</w:t>
            </w:r>
          </w:p>
        </w:tc>
        <w:tc>
          <w:tcPr>
            <w:shd w:val="clear" w:color="auto" w:fill="auto"/>
            <w:vAlign w:val="center"/>
          </w:tcPr>
          <w:p w14:paraId="57D677C6">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通风、光照良好，温度适宜；系统停运且周围无运行设备</w:t>
            </w:r>
          </w:p>
        </w:tc>
        <w:tc>
          <w:tcPr>
            <w:shd w:val="clear" w:color="auto" w:fill="auto"/>
            <w:vAlign w:val="center"/>
          </w:tcPr>
          <w:p w14:paraId="5DCA28D6">
            <w:pPr>
              <w:widowControl w:val="0"/>
              <w:autoSpaceDE w:val="0"/>
              <w:autoSpaceDN w:val="0"/>
              <w:spacing w:before="60" w:after="60"/>
              <w:ind w:left="108" w:firstLine="0" w:firstLineChars="0"/>
              <w:jc w:val="both"/>
              <w:rPr>
                <w:rFonts w:hint="eastAsia" w:ascii="仿宋" w:hAnsi="仿宋" w:eastAsia="仿宋" w:cs="仿宋"/>
                <w:color w:val="auto"/>
                <w:sz w:val="32"/>
                <w:szCs w:val="32"/>
                <w:lang w:val="zh-CN" w:eastAsia="zh-CN" w:bidi="zh-CN"/>
              </w:rPr>
            </w:pPr>
            <w:r>
              <w:rPr>
                <w:rFonts w:hint="eastAsia" w:ascii="仿宋" w:hAnsi="仿宋" w:eastAsia="仿宋" w:cs="仿宋"/>
                <w:color w:val="auto"/>
                <w:sz w:val="32"/>
                <w:szCs w:val="32"/>
                <w:lang w:val="zh-CN" w:eastAsia="zh-CN" w:bidi="zh-CN"/>
              </w:rPr>
              <w:t>有，完善，严格执行</w:t>
            </w:r>
          </w:p>
        </w:tc>
      </w:tr>
    </w:tbl>
    <w:p w14:paraId="49AB9A3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color w:val="auto"/>
          <w:sz w:val="32"/>
          <w:szCs w:val="32"/>
          <w:lang w:val="zh-CN" w:eastAsia="zh-CN" w:bidi="zh-CN"/>
        </w:rPr>
        <w:t>注：当缺少基础资料或者无法取得充分可靠的数据或者分析数据不具有成</w:t>
      </w:r>
      <w:bookmarkEnd w:id="106"/>
      <w:r>
        <w:rPr>
          <w:rFonts w:hint="eastAsia" w:ascii="仿宋" w:hAnsi="仿宋" w:eastAsia="仿宋" w:cs="仿宋"/>
          <w:sz w:val="32"/>
          <w:szCs w:val="32"/>
          <w:lang w:val="zh-CN" w:eastAsia="zh-CN" w:bidi="zh-CN"/>
        </w:rPr>
        <w:t>本效益性时，取值可参照类似性质、规模企业的业内平均水平。</w:t>
      </w:r>
    </w:p>
    <w:p w14:paraId="5CA0609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3.风险事件后果严重程度（S）取值</w:t>
      </w:r>
    </w:p>
    <w:p w14:paraId="3AEBCE2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从人员伤亡、经济损失二个维度对风险事件后果严重程度进行评价取值，以最大值作为最终S值，即满足若干条件之一时就取对应的S值，而无需满足所有条件。</w:t>
      </w:r>
    </w:p>
    <w:p w14:paraId="59D94F23">
      <w:pPr>
        <w:pStyle w:val="2"/>
        <w:rPr>
          <w:rFonts w:hint="eastAsia" w:ascii="仿宋" w:hAnsi="仿宋" w:eastAsia="仿宋" w:cs="仿宋"/>
          <w:sz w:val="32"/>
          <w:szCs w:val="32"/>
          <w:lang w:val="zh-CN" w:eastAsia="zh-CN"/>
        </w:rPr>
      </w:pPr>
    </w:p>
    <w:p w14:paraId="76F7FF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风险事件后果严重程度（S）参考取值表</w:t>
      </w:r>
    </w:p>
    <w:tbl>
      <w:tblPr>
        <w:tblStyle w:val="17"/>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3404"/>
        <w:gridCol w:w="4891"/>
      </w:tblGrid>
      <w:tr w14:paraId="40571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FAAB6A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S</w:t>
            </w:r>
          </w:p>
        </w:tc>
        <w:tc>
          <w:tcPr>
            <w:shd w:val="clear" w:color="auto" w:fill="auto"/>
            <w:vAlign w:val="center"/>
          </w:tcPr>
          <w:p w14:paraId="5599EA7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可能造成的人身伤害</w:t>
            </w:r>
          </w:p>
        </w:tc>
        <w:tc>
          <w:tcPr>
            <w:shd w:val="clear" w:color="auto" w:fill="auto"/>
            <w:vAlign w:val="center"/>
          </w:tcPr>
          <w:p w14:paraId="03BA4F2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可能造成的财产损失、设备设施损坏</w:t>
            </w:r>
          </w:p>
        </w:tc>
      </w:tr>
      <w:tr w14:paraId="603D9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04F9058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12278632">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3人及以上死亡或7人及以上重伤</w:t>
            </w:r>
          </w:p>
        </w:tc>
        <w:tc>
          <w:tcPr>
            <w:shd w:val="clear" w:color="auto" w:fill="auto"/>
            <w:vAlign w:val="center"/>
          </w:tcPr>
          <w:p w14:paraId="32E2A151">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直接经济损失在1000万元及以上</w:t>
            </w:r>
          </w:p>
        </w:tc>
      </w:tr>
      <w:tr w14:paraId="710EA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7D3C1F4">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1858A9B8">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1-2人死亡或3-6人重伤</w:t>
            </w:r>
          </w:p>
        </w:tc>
        <w:tc>
          <w:tcPr>
            <w:shd w:val="clear" w:color="auto" w:fill="auto"/>
            <w:vAlign w:val="center"/>
          </w:tcPr>
          <w:p w14:paraId="6DB333A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直接经济损失在100万元及以上，1000万元以下</w:t>
            </w:r>
          </w:p>
        </w:tc>
      </w:tr>
      <w:tr w14:paraId="0E558D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C1AC16C">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645A694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造成1至2人重伤或3至6人轻伤</w:t>
            </w:r>
          </w:p>
        </w:tc>
        <w:tc>
          <w:tcPr>
            <w:shd w:val="clear" w:color="auto" w:fill="auto"/>
            <w:vAlign w:val="center"/>
          </w:tcPr>
          <w:p w14:paraId="5137D70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直接经济损失在10万元及以上，100万元以下</w:t>
            </w:r>
          </w:p>
        </w:tc>
      </w:tr>
      <w:tr w14:paraId="3FBBB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1E8D8319">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35938A6A">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1至2人轻伤</w:t>
            </w:r>
          </w:p>
        </w:tc>
        <w:tc>
          <w:tcPr>
            <w:shd w:val="clear" w:color="auto" w:fill="auto"/>
            <w:vAlign w:val="center"/>
          </w:tcPr>
          <w:p w14:paraId="092B6550">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直接经济损失一万元及以上，10万元以下</w:t>
            </w:r>
          </w:p>
        </w:tc>
      </w:tr>
      <w:tr w14:paraId="0029E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65AD45EF">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4490999E">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1至2人轻微伤</w:t>
            </w:r>
          </w:p>
        </w:tc>
        <w:tc>
          <w:tcPr>
            <w:shd w:val="clear" w:color="auto" w:fill="auto"/>
            <w:vAlign w:val="center"/>
          </w:tcPr>
          <w:p w14:paraId="371B1545">
            <w:pPr>
              <w:widowControl w:val="0"/>
              <w:autoSpaceDE w:val="0"/>
              <w:autoSpaceDN w:val="0"/>
              <w:spacing w:before="60" w:after="60"/>
              <w:ind w:left="108" w:firstLine="0" w:firstLineChars="0"/>
              <w:jc w:val="both"/>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直接经济损失在1万元以下</w:t>
            </w:r>
          </w:p>
        </w:tc>
      </w:tr>
    </w:tbl>
    <w:p w14:paraId="33388E2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p>
    <w:p w14:paraId="464EAA8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4.风险评价</w:t>
      </w:r>
    </w:p>
    <w:p w14:paraId="668D9AE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风险评价是根据风险分析的结果，确定风险等级。</w:t>
      </w:r>
    </w:p>
    <w:p w14:paraId="31DD4C1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4.1风险值（R）</w:t>
      </w:r>
    </w:p>
    <w:p w14:paraId="2ACF364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根据公式R=L×S计算出风险的风险值（R），并取最大值作为该风险的最终风险值（R）。</w:t>
      </w:r>
    </w:p>
    <w:p w14:paraId="12B12B1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30993AD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风险矩阵（R）</w:t>
      </w:r>
    </w:p>
    <w:p w14:paraId="27901922">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8"/>
                    <a:stretch>
                      <a:fillRect/>
                    </a:stretch>
                  </pic:blipFill>
                  <pic:spPr>
                    <a:xfrm>
                      <a:off x="0" y="0"/>
                      <a:ext cx="5201920" cy="2435225"/>
                    </a:xfrm>
                    <a:prstGeom prst="rect">
                      <a:avLst/>
                    </a:prstGeom>
                    <a:noFill/>
                    <a:ln w="9525">
                      <a:noFill/>
                    </a:ln>
                  </pic:spPr>
                </pic:pic>
              </a:graphicData>
            </a:graphic>
          </wp:inline>
        </w:drawing>
      </w:r>
    </w:p>
    <w:p w14:paraId="73DAAAE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4.2风险等级</w:t>
      </w:r>
    </w:p>
    <w:p w14:paraId="48F542F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根据风险值（R）的大小，将风险由高到低分为重大风险、较大风险、一般风险和低风险四个等级。</w:t>
      </w:r>
    </w:p>
    <w:p w14:paraId="37B7AE43">
      <w:pPr>
        <w:pStyle w:val="2"/>
        <w:rPr>
          <w:rFonts w:hint="eastAsia"/>
          <w:lang w:val="zh-CN" w:eastAsia="zh-CN"/>
        </w:rPr>
      </w:pPr>
    </w:p>
    <w:p w14:paraId="24621916">
      <w:pPr>
        <w:widowControl w:val="0"/>
        <w:autoSpaceDE w:val="0"/>
        <w:autoSpaceDN w:val="0"/>
        <w:ind w:left="0" w:leftChars="0" w:firstLine="0" w:firstLineChars="0"/>
        <w:jc w:val="center"/>
        <w:rPr>
          <w:rFonts w:ascii="宋体" w:hAnsi="宋体" w:eastAsia="宋体" w:cs="宋体"/>
          <w:sz w:val="28"/>
          <w:szCs w:val="28"/>
          <w:lang w:val="zh-CN" w:eastAsia="zh-CN" w:bidi="zh-CN"/>
        </w:rPr>
      </w:pPr>
      <w:r>
        <w:rPr>
          <w:rFonts w:ascii="宋体" w:hAnsi="宋体" w:eastAsia="宋体" w:cs="宋体"/>
          <w:sz w:val="28"/>
          <w:szCs w:val="28"/>
          <w:lang w:val="zh-CN" w:eastAsia="zh-CN" w:bidi="zh-CN"/>
        </w:rPr>
        <w:drawing>
          <wp:inline distT="0" distB="0" distL="114300" distR="114300">
            <wp:extent cx="5735320" cy="2129155"/>
            <wp:effectExtent l="0" t="0" r="10160" b="444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9"/>
                    <a:stretch>
                      <a:fillRect/>
                    </a:stretch>
                  </pic:blipFill>
                  <pic:spPr>
                    <a:xfrm>
                      <a:off x="0" y="0"/>
                      <a:ext cx="5735320" cy="2129155"/>
                    </a:xfrm>
                    <a:prstGeom prst="rect">
                      <a:avLst/>
                    </a:prstGeom>
                    <a:noFill/>
                    <a:ln w="9525">
                      <a:noFill/>
                    </a:ln>
                  </pic:spPr>
                </pic:pic>
              </a:graphicData>
            </a:graphic>
          </wp:inline>
        </w:drawing>
      </w:r>
    </w:p>
    <w:p w14:paraId="4B61247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p>
    <w:p w14:paraId="5A5E396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LEC法安全风险评价判定准则</w:t>
      </w:r>
    </w:p>
    <w:p w14:paraId="12C3AAE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表1</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可能性（L）基准值</w:t>
      </w:r>
    </w:p>
    <w:tbl>
      <w:tblPr>
        <w:tblStyle w:val="17"/>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79"/>
        <w:gridCol w:w="4827"/>
        <w:gridCol w:w="2506"/>
        <w:gridCol w:w="767"/>
      </w:tblGrid>
      <w:tr w14:paraId="173C6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113A817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29AC8DA6">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事故发生的可能性</w:t>
            </w:r>
          </w:p>
        </w:tc>
        <w:tc>
          <w:tcPr>
            <w:vMerge w:val="restart"/>
            <w:shd w:val="clear" w:color="auto" w:fill="auto"/>
            <w:vAlign w:val="center"/>
          </w:tcPr>
          <w:p w14:paraId="17A50B2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63636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322E2277">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740D08A">
            <w:pPr>
              <w:widowControl w:val="0"/>
              <w:autoSpaceDE w:val="0"/>
              <w:autoSpaceDN w:val="0"/>
              <w:spacing w:before="60" w:after="60"/>
              <w:ind w:left="108" w:firstLine="0" w:firstLineChars="0"/>
              <w:jc w:val="left"/>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21FFB0DF">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252CB1E1">
            <w:pPr>
              <w:widowControl w:val="0"/>
              <w:kinsoku/>
              <w:adjustRightInd/>
              <w:snapToGrid/>
              <w:textAlignment w:val="auto"/>
              <w:rPr>
                <w:rFonts w:hint="eastAsia" w:ascii="仿宋" w:hAnsi="仿宋" w:eastAsia="仿宋" w:cs="仿宋"/>
                <w:snapToGrid/>
                <w:sz w:val="32"/>
                <w:szCs w:val="32"/>
                <w:lang w:val="zh-CN" w:eastAsia="zh-CN" w:bidi="zh-CN"/>
              </w:rPr>
            </w:pPr>
          </w:p>
        </w:tc>
      </w:tr>
      <w:tr w14:paraId="3E9A9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6730E48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7E6A658C">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如果危害事件发生，即产生最可能和预期的结果（100%）</w:t>
            </w:r>
          </w:p>
        </w:tc>
        <w:tc>
          <w:tcPr>
            <w:shd w:val="clear" w:color="auto" w:fill="auto"/>
            <w:vAlign w:val="center"/>
          </w:tcPr>
          <w:p w14:paraId="4B8E563A">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频繁：平均每6个月发生一次</w:t>
            </w:r>
          </w:p>
        </w:tc>
        <w:tc>
          <w:tcPr>
            <w:shd w:val="clear" w:color="auto" w:fill="auto"/>
            <w:vAlign w:val="center"/>
          </w:tcPr>
          <w:p w14:paraId="16B3D86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6F00AF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7AD65DA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7FCDE07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十分可能（50%）</w:t>
            </w:r>
          </w:p>
        </w:tc>
        <w:tc>
          <w:tcPr>
            <w:shd w:val="clear" w:color="auto" w:fill="auto"/>
            <w:vAlign w:val="center"/>
          </w:tcPr>
          <w:p w14:paraId="3F98CD70">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持续：平均每1年发生一次</w:t>
            </w:r>
          </w:p>
        </w:tc>
        <w:tc>
          <w:tcPr>
            <w:shd w:val="clear" w:color="auto" w:fill="auto"/>
            <w:vAlign w:val="center"/>
          </w:tcPr>
          <w:p w14:paraId="789CFEE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563C9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087E82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686EEF92">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可能（25%）</w:t>
            </w:r>
          </w:p>
        </w:tc>
        <w:tc>
          <w:tcPr>
            <w:shd w:val="clear" w:color="auto" w:fill="auto"/>
            <w:vAlign w:val="center"/>
          </w:tcPr>
          <w:p w14:paraId="47705C8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经常：平均每1～2年发生一次</w:t>
            </w:r>
          </w:p>
        </w:tc>
        <w:tc>
          <w:tcPr>
            <w:shd w:val="clear" w:color="auto" w:fill="auto"/>
            <w:vAlign w:val="center"/>
          </w:tcPr>
          <w:p w14:paraId="1C24922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4FC978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194F677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427005ED">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很少的可能性，据说曾经发生过</w:t>
            </w:r>
          </w:p>
        </w:tc>
        <w:tc>
          <w:tcPr>
            <w:shd w:val="clear" w:color="auto" w:fill="auto"/>
            <w:vAlign w:val="center"/>
          </w:tcPr>
          <w:p w14:paraId="43AA3A06">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偶然：3～9年发生一次</w:t>
            </w:r>
          </w:p>
        </w:tc>
        <w:tc>
          <w:tcPr>
            <w:shd w:val="clear" w:color="auto" w:fill="auto"/>
            <w:vAlign w:val="center"/>
          </w:tcPr>
          <w:p w14:paraId="245E720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7EA700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2AAC07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3618B139">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相当少但确有可能，多年没有发生过</w:t>
            </w:r>
          </w:p>
        </w:tc>
        <w:tc>
          <w:tcPr>
            <w:shd w:val="clear" w:color="auto" w:fill="auto"/>
            <w:vAlign w:val="center"/>
          </w:tcPr>
          <w:p w14:paraId="3BCFDB0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很难：10～20年发生一次</w:t>
            </w:r>
          </w:p>
        </w:tc>
        <w:tc>
          <w:tcPr>
            <w:shd w:val="clear" w:color="auto" w:fill="auto"/>
            <w:vAlign w:val="center"/>
          </w:tcPr>
          <w:p w14:paraId="179AFD6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r w14:paraId="2A571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498975D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52CE809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百万分之一的可能性，尽管暴露了许多年，但从来没有发生过</w:t>
            </w:r>
          </w:p>
        </w:tc>
        <w:tc>
          <w:tcPr>
            <w:shd w:val="clear" w:color="auto" w:fill="auto"/>
            <w:vAlign w:val="center"/>
          </w:tcPr>
          <w:p w14:paraId="50C8466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罕见：几乎从未发生过</w:t>
            </w:r>
          </w:p>
        </w:tc>
        <w:tc>
          <w:tcPr>
            <w:shd w:val="clear" w:color="auto" w:fill="auto"/>
            <w:vAlign w:val="center"/>
          </w:tcPr>
          <w:p w14:paraId="25C3850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0.1</w:t>
            </w:r>
          </w:p>
        </w:tc>
      </w:tr>
    </w:tbl>
    <w:p w14:paraId="0E21408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p>
    <w:p w14:paraId="05D2C0E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表2</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暴露率（E）基准值</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3"/>
        <w:gridCol w:w="3875"/>
        <w:gridCol w:w="3194"/>
        <w:gridCol w:w="770"/>
      </w:tblGrid>
      <w:tr w14:paraId="57E0B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vMerge w:val="restart"/>
            <w:shd w:val="clear" w:color="auto" w:fill="auto"/>
            <w:vAlign w:val="center"/>
          </w:tcPr>
          <w:p w14:paraId="0260966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5035D50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人员暴露于危险环境中的频繁程度</w:t>
            </w:r>
          </w:p>
        </w:tc>
        <w:tc>
          <w:tcPr>
            <w:vMerge w:val="restart"/>
            <w:shd w:val="clear" w:color="auto" w:fill="auto"/>
            <w:vAlign w:val="center"/>
          </w:tcPr>
          <w:p w14:paraId="61220A7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61BE9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D86BF1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4B47189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人员伤亡、火灾、设备损坏、生产中断、环境污染</w:t>
            </w:r>
          </w:p>
        </w:tc>
        <w:tc>
          <w:tcPr>
            <w:shd w:val="clear" w:color="auto" w:fill="auto"/>
            <w:vAlign w:val="center"/>
          </w:tcPr>
          <w:p w14:paraId="6940263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职业健康损害</w:t>
            </w:r>
          </w:p>
        </w:tc>
        <w:tc>
          <w:tcPr>
            <w:vMerge w:val="continue"/>
            <w:shd w:val="clear" w:color="auto" w:fill="auto"/>
            <w:vAlign w:val="center"/>
          </w:tcPr>
          <w:p w14:paraId="143E7394">
            <w:pPr>
              <w:widowControl w:val="0"/>
              <w:kinsoku/>
              <w:adjustRightInd/>
              <w:snapToGrid/>
              <w:textAlignment w:val="auto"/>
              <w:rPr>
                <w:rFonts w:hint="eastAsia" w:ascii="仿宋" w:hAnsi="仿宋" w:eastAsia="仿宋" w:cs="仿宋"/>
                <w:snapToGrid/>
                <w:sz w:val="32"/>
                <w:szCs w:val="32"/>
                <w:lang w:val="zh-CN" w:eastAsia="zh-CN" w:bidi="zh-CN"/>
              </w:rPr>
            </w:pPr>
          </w:p>
        </w:tc>
      </w:tr>
      <w:tr w14:paraId="05C77F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52C2946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3CBE0D6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持续（每天许多次）</w:t>
            </w:r>
          </w:p>
        </w:tc>
        <w:tc>
          <w:tcPr>
            <w:shd w:val="clear" w:color="auto" w:fill="auto"/>
            <w:vAlign w:val="center"/>
          </w:tcPr>
          <w:p w14:paraId="12DBB27E">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暴露期大于2倍的法定极限值</w:t>
            </w:r>
          </w:p>
        </w:tc>
        <w:tc>
          <w:tcPr>
            <w:shd w:val="clear" w:color="auto" w:fill="auto"/>
            <w:vAlign w:val="center"/>
          </w:tcPr>
          <w:p w14:paraId="5E152C7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w:t>
            </w:r>
          </w:p>
        </w:tc>
      </w:tr>
      <w:tr w14:paraId="2B5C1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230FF6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5BA8AF4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经常（大概每天一次）</w:t>
            </w:r>
          </w:p>
        </w:tc>
        <w:tc>
          <w:tcPr>
            <w:shd w:val="clear" w:color="auto" w:fill="auto"/>
            <w:vAlign w:val="center"/>
          </w:tcPr>
          <w:p w14:paraId="4230A905">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暴露期介于1～2倍法定极限值之间</w:t>
            </w:r>
          </w:p>
        </w:tc>
        <w:tc>
          <w:tcPr>
            <w:shd w:val="clear" w:color="auto" w:fill="auto"/>
            <w:vAlign w:val="center"/>
          </w:tcPr>
          <w:p w14:paraId="1D6C5C9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r>
      <w:tr w14:paraId="436C1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4256BBE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3230270B">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有时（从每周一次到每月一次）</w:t>
            </w:r>
          </w:p>
        </w:tc>
        <w:tc>
          <w:tcPr>
            <w:shd w:val="clear" w:color="auto" w:fill="auto"/>
            <w:vAlign w:val="center"/>
          </w:tcPr>
          <w:p w14:paraId="70961B13">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暴露期在法定极限值内</w:t>
            </w:r>
          </w:p>
        </w:tc>
        <w:tc>
          <w:tcPr>
            <w:shd w:val="clear" w:color="auto" w:fill="auto"/>
            <w:vAlign w:val="center"/>
          </w:tcPr>
          <w:p w14:paraId="70D8C1B0">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r>
      <w:tr w14:paraId="20340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FA97FB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34BE7EE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偶尔（从每月一次到每年一次）</w:t>
            </w:r>
          </w:p>
        </w:tc>
        <w:tc>
          <w:tcPr>
            <w:shd w:val="clear" w:color="auto" w:fill="auto"/>
            <w:vAlign w:val="center"/>
          </w:tcPr>
          <w:p w14:paraId="1409439B">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暴露期在正常允许水平和法定极限值之间</w:t>
            </w:r>
          </w:p>
        </w:tc>
        <w:tc>
          <w:tcPr>
            <w:shd w:val="clear" w:color="auto" w:fill="auto"/>
            <w:vAlign w:val="center"/>
          </w:tcPr>
          <w:p w14:paraId="6E122A7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r>
      <w:tr w14:paraId="663FD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0E5DAFC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52E9C22F">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很少（据说曾经发生过）</w:t>
            </w:r>
          </w:p>
        </w:tc>
        <w:tc>
          <w:tcPr>
            <w:shd w:val="clear" w:color="auto" w:fill="auto"/>
            <w:vAlign w:val="center"/>
          </w:tcPr>
          <w:p w14:paraId="3D16A1D4">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暴露期在正常允许水平内</w:t>
            </w:r>
          </w:p>
        </w:tc>
        <w:tc>
          <w:tcPr>
            <w:shd w:val="clear" w:color="auto" w:fill="auto"/>
            <w:vAlign w:val="center"/>
          </w:tcPr>
          <w:p w14:paraId="354394B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389DE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C70B40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1FA3FBDB">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特别少（没发生过，但有发生的可能性）</w:t>
            </w:r>
          </w:p>
        </w:tc>
        <w:tc>
          <w:tcPr>
            <w:shd w:val="clear" w:color="auto" w:fill="auto"/>
            <w:vAlign w:val="center"/>
          </w:tcPr>
          <w:p w14:paraId="67D3F031">
            <w:pPr>
              <w:widowControl w:val="0"/>
              <w:autoSpaceDE w:val="0"/>
              <w:autoSpaceDN w:val="0"/>
              <w:spacing w:before="60" w:after="60"/>
              <w:ind w:left="108"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暴露期低于正常允许水平</w:t>
            </w:r>
          </w:p>
        </w:tc>
        <w:tc>
          <w:tcPr>
            <w:shd w:val="clear" w:color="auto" w:fill="auto"/>
            <w:vAlign w:val="center"/>
          </w:tcPr>
          <w:p w14:paraId="56E5925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0.5</w:t>
            </w:r>
          </w:p>
        </w:tc>
      </w:tr>
    </w:tbl>
    <w:p w14:paraId="3679F885">
      <w:pPr>
        <w:widowControl w:val="0"/>
        <w:autoSpaceDE w:val="0"/>
        <w:autoSpaceDN w:val="0"/>
        <w:ind w:left="108" w:firstLine="535"/>
        <w:rPr>
          <w:rFonts w:hint="eastAsia" w:ascii="仿宋" w:hAnsi="仿宋" w:eastAsia="仿宋" w:cs="仿宋"/>
          <w:b/>
          <w:bCs/>
          <w:sz w:val="32"/>
          <w:szCs w:val="32"/>
          <w:lang w:val="zh-CN" w:eastAsia="zh-CN" w:bidi="zh-CN"/>
        </w:rPr>
      </w:pPr>
    </w:p>
    <w:p w14:paraId="6C62D07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表3</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后果（C）基准值</w:t>
      </w:r>
    </w:p>
    <w:tbl>
      <w:tblPr>
        <w:tblStyle w:val="17"/>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31"/>
        <w:gridCol w:w="2131"/>
      </w:tblGrid>
      <w:tr w14:paraId="2F4405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4053399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gridSpan w:val="2"/>
            <w:shd w:val="clear" w:color="auto" w:fill="auto"/>
            <w:vAlign w:val="center"/>
          </w:tcPr>
          <w:p w14:paraId="63FC76B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事故可能造成后果的严重程度</w:t>
            </w:r>
          </w:p>
        </w:tc>
        <w:tc>
          <w:tcPr>
            <w:shd w:val="clear" w:color="auto" w:fill="auto"/>
            <w:vAlign w:val="center"/>
          </w:tcPr>
          <w:p w14:paraId="27C1BD0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分值</w:t>
            </w:r>
          </w:p>
        </w:tc>
      </w:tr>
      <w:tr w14:paraId="2A7D6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4424EABF">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shd w:val="clear" w:color="auto" w:fill="auto"/>
            <w:vAlign w:val="center"/>
          </w:tcPr>
          <w:p w14:paraId="29AD58D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58B51F0B">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（1）造成死亡≥3人；或重伤≥10人。</w:t>
            </w:r>
          </w:p>
        </w:tc>
        <w:tc>
          <w:tcPr>
            <w:vMerge w:val="restart"/>
            <w:shd w:val="clear" w:color="auto" w:fill="auto"/>
            <w:vAlign w:val="center"/>
          </w:tcPr>
          <w:p w14:paraId="59EBA6E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100</w:t>
            </w:r>
          </w:p>
        </w:tc>
      </w:tr>
      <w:tr w14:paraId="76698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8DBD1BD">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210879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064C3D4C">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（1）造成设备或财产损失≥1000万元。</w:t>
            </w:r>
          </w:p>
        </w:tc>
        <w:tc>
          <w:tcPr>
            <w:vMerge w:val="continue"/>
            <w:shd w:val="clear" w:color="auto" w:fill="auto"/>
            <w:vAlign w:val="center"/>
          </w:tcPr>
          <w:p w14:paraId="46144E63">
            <w:pPr>
              <w:widowControl w:val="0"/>
              <w:kinsoku/>
              <w:adjustRightInd/>
              <w:snapToGrid/>
              <w:textAlignment w:val="auto"/>
              <w:rPr>
                <w:rFonts w:hint="eastAsia" w:ascii="仿宋" w:hAnsi="仿宋" w:eastAsia="仿宋" w:cs="仿宋"/>
                <w:snapToGrid/>
                <w:sz w:val="32"/>
                <w:szCs w:val="32"/>
                <w:lang w:val="zh-CN" w:eastAsia="zh-CN" w:bidi="zh-CN"/>
              </w:rPr>
            </w:pPr>
          </w:p>
        </w:tc>
      </w:tr>
      <w:tr w14:paraId="7C085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A680EB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D30F2A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62FFDE7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（1）造成较大以上电力安全事故。</w:t>
            </w:r>
          </w:p>
        </w:tc>
        <w:tc>
          <w:tcPr>
            <w:vMerge w:val="continue"/>
            <w:shd w:val="clear" w:color="auto" w:fill="auto"/>
            <w:vAlign w:val="center"/>
          </w:tcPr>
          <w:p w14:paraId="321F93DB">
            <w:pPr>
              <w:widowControl w:val="0"/>
              <w:kinsoku/>
              <w:adjustRightInd/>
              <w:snapToGrid/>
              <w:textAlignment w:val="auto"/>
              <w:rPr>
                <w:rFonts w:hint="eastAsia" w:ascii="仿宋" w:hAnsi="仿宋" w:eastAsia="仿宋" w:cs="仿宋"/>
                <w:snapToGrid/>
                <w:sz w:val="32"/>
                <w:szCs w:val="32"/>
                <w:lang w:val="zh-CN" w:eastAsia="zh-CN" w:bidi="zh-CN"/>
              </w:rPr>
            </w:pPr>
          </w:p>
        </w:tc>
      </w:tr>
      <w:tr w14:paraId="76030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56224C9">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7AF247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49876BD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（1）造成大范围环境破坏；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（2）造成人员死亡、环境恢复困难；</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（3）严重违反国家环境保护法律法规。</w:t>
            </w:r>
          </w:p>
        </w:tc>
        <w:tc>
          <w:tcPr>
            <w:vMerge w:val="continue"/>
            <w:shd w:val="clear" w:color="auto" w:fill="auto"/>
            <w:vAlign w:val="center"/>
          </w:tcPr>
          <w:p w14:paraId="5A7707DD">
            <w:pPr>
              <w:widowControl w:val="0"/>
              <w:kinsoku/>
              <w:adjustRightInd/>
              <w:snapToGrid/>
              <w:textAlignment w:val="auto"/>
              <w:rPr>
                <w:rFonts w:hint="eastAsia" w:ascii="仿宋" w:hAnsi="仿宋" w:eastAsia="仿宋" w:cs="仿宋"/>
                <w:snapToGrid/>
                <w:sz w:val="32"/>
                <w:szCs w:val="32"/>
                <w:lang w:val="zh-CN" w:eastAsia="zh-CN" w:bidi="zh-CN"/>
              </w:rPr>
            </w:pPr>
          </w:p>
        </w:tc>
      </w:tr>
      <w:tr w14:paraId="0C6E6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1C10D0C">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8DF2E1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6C21312A">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（1）造成3～9例无法复原的严重职业病；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（2）造成9例以上很难治愈的职业病。</w:t>
            </w:r>
          </w:p>
        </w:tc>
        <w:tc>
          <w:tcPr>
            <w:vMerge w:val="continue"/>
            <w:shd w:val="clear" w:color="auto" w:fill="auto"/>
            <w:vAlign w:val="center"/>
          </w:tcPr>
          <w:p w14:paraId="699F58F5">
            <w:pPr>
              <w:widowControl w:val="0"/>
              <w:kinsoku/>
              <w:adjustRightInd/>
              <w:snapToGrid/>
              <w:textAlignment w:val="auto"/>
              <w:rPr>
                <w:rFonts w:hint="eastAsia" w:ascii="仿宋" w:hAnsi="仿宋" w:eastAsia="仿宋" w:cs="仿宋"/>
                <w:snapToGrid/>
                <w:sz w:val="32"/>
                <w:szCs w:val="32"/>
                <w:lang w:val="zh-CN" w:eastAsia="zh-CN" w:bidi="zh-CN"/>
              </w:rPr>
            </w:pPr>
          </w:p>
        </w:tc>
      </w:tr>
      <w:tr w14:paraId="6E5711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9864F7C">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shd w:val="clear" w:color="auto" w:fill="auto"/>
            <w:vAlign w:val="center"/>
          </w:tcPr>
          <w:p w14:paraId="16CA699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3A2B8A2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（1）造成1～2人死亡；或重伤3～9人。</w:t>
            </w:r>
          </w:p>
        </w:tc>
        <w:tc>
          <w:tcPr>
            <w:vMerge w:val="restart"/>
            <w:shd w:val="clear" w:color="auto" w:fill="auto"/>
            <w:vAlign w:val="center"/>
          </w:tcPr>
          <w:p w14:paraId="42BDCB5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50</w:t>
            </w:r>
          </w:p>
        </w:tc>
      </w:tr>
      <w:tr w14:paraId="0AF691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1CF03C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B31CD7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34105849">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（1）造成设备或财产损失在100万元到1000万元之间。</w:t>
            </w:r>
          </w:p>
        </w:tc>
        <w:tc>
          <w:tcPr>
            <w:vMerge w:val="continue"/>
            <w:shd w:val="clear" w:color="auto" w:fill="auto"/>
            <w:vAlign w:val="center"/>
          </w:tcPr>
          <w:p w14:paraId="6E7B823E">
            <w:pPr>
              <w:widowControl w:val="0"/>
              <w:kinsoku/>
              <w:adjustRightInd/>
              <w:snapToGrid/>
              <w:textAlignment w:val="auto"/>
              <w:rPr>
                <w:rFonts w:hint="eastAsia" w:ascii="仿宋" w:hAnsi="仿宋" w:eastAsia="仿宋" w:cs="仿宋"/>
                <w:snapToGrid/>
                <w:sz w:val="32"/>
                <w:szCs w:val="32"/>
                <w:lang w:val="zh-CN" w:eastAsia="zh-CN" w:bidi="zh-CN"/>
              </w:rPr>
            </w:pPr>
          </w:p>
        </w:tc>
      </w:tr>
      <w:tr w14:paraId="4BF51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D223B6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179877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6890CF5E">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（1）造成一般电力安全事故且中断安全记录。</w:t>
            </w:r>
          </w:p>
        </w:tc>
        <w:tc>
          <w:tcPr>
            <w:vMerge w:val="continue"/>
            <w:shd w:val="clear" w:color="auto" w:fill="auto"/>
            <w:vAlign w:val="center"/>
          </w:tcPr>
          <w:p w14:paraId="4B4BD5D4">
            <w:pPr>
              <w:widowControl w:val="0"/>
              <w:kinsoku/>
              <w:adjustRightInd/>
              <w:snapToGrid/>
              <w:textAlignment w:val="auto"/>
              <w:rPr>
                <w:rFonts w:hint="eastAsia" w:ascii="仿宋" w:hAnsi="仿宋" w:eastAsia="仿宋" w:cs="仿宋"/>
                <w:snapToGrid/>
                <w:sz w:val="32"/>
                <w:szCs w:val="32"/>
                <w:lang w:val="zh-CN" w:eastAsia="zh-CN" w:bidi="zh-CN"/>
              </w:rPr>
            </w:pPr>
          </w:p>
        </w:tc>
      </w:tr>
      <w:tr w14:paraId="21CB4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F6BD98B">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F844A1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6F7EA5B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（1）造成较大范围的环境破坏；</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（2）影响后果可导致急性疾病或重大伤残，居民需要撤离；</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（3）政府要求整顿。</w:t>
            </w:r>
          </w:p>
        </w:tc>
        <w:tc>
          <w:tcPr>
            <w:vMerge w:val="continue"/>
            <w:shd w:val="clear" w:color="auto" w:fill="auto"/>
            <w:vAlign w:val="center"/>
          </w:tcPr>
          <w:p w14:paraId="4C89E472">
            <w:pPr>
              <w:widowControl w:val="0"/>
              <w:kinsoku/>
              <w:adjustRightInd/>
              <w:snapToGrid/>
              <w:textAlignment w:val="auto"/>
              <w:rPr>
                <w:rFonts w:hint="eastAsia" w:ascii="仿宋" w:hAnsi="仿宋" w:eastAsia="仿宋" w:cs="仿宋"/>
                <w:snapToGrid/>
                <w:sz w:val="32"/>
                <w:szCs w:val="32"/>
                <w:lang w:val="zh-CN" w:eastAsia="zh-CN" w:bidi="zh-CN"/>
              </w:rPr>
            </w:pPr>
          </w:p>
        </w:tc>
      </w:tr>
      <w:tr w14:paraId="6AC72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E578295">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D9D669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2B1279A">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（1）造成1～2例无法复原的严重职业病；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（2）造成3～9例以上很难治愈的职业病。</w:t>
            </w:r>
          </w:p>
        </w:tc>
        <w:tc>
          <w:tcPr>
            <w:vMerge w:val="continue"/>
            <w:shd w:val="clear" w:color="auto" w:fill="auto"/>
            <w:vAlign w:val="center"/>
          </w:tcPr>
          <w:p w14:paraId="64DE28BF">
            <w:pPr>
              <w:widowControl w:val="0"/>
              <w:kinsoku/>
              <w:adjustRightInd/>
              <w:snapToGrid/>
              <w:textAlignment w:val="auto"/>
              <w:rPr>
                <w:rFonts w:hint="eastAsia" w:ascii="仿宋" w:hAnsi="仿宋" w:eastAsia="仿宋" w:cs="仿宋"/>
                <w:snapToGrid/>
                <w:sz w:val="32"/>
                <w:szCs w:val="32"/>
                <w:lang w:val="zh-CN" w:eastAsia="zh-CN" w:bidi="zh-CN"/>
              </w:rPr>
            </w:pPr>
          </w:p>
        </w:tc>
      </w:tr>
      <w:tr w14:paraId="526844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9AF641A">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shd w:val="clear" w:color="auto" w:fill="auto"/>
            <w:vAlign w:val="center"/>
          </w:tcPr>
          <w:p w14:paraId="5DFA63C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5974709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（1）造成重伤1～2人。</w:t>
            </w:r>
          </w:p>
        </w:tc>
        <w:tc>
          <w:tcPr>
            <w:vMerge w:val="restart"/>
            <w:shd w:val="clear" w:color="auto" w:fill="auto"/>
            <w:vAlign w:val="center"/>
          </w:tcPr>
          <w:p w14:paraId="6480ED3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25</w:t>
            </w:r>
          </w:p>
        </w:tc>
      </w:tr>
      <w:tr w14:paraId="4A08B3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E3ACA70">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60FB98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3807C9DD">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（1）造成设备或财产损失在50万元到100万元之间。</w:t>
            </w:r>
          </w:p>
        </w:tc>
        <w:tc>
          <w:tcPr>
            <w:vMerge w:val="continue"/>
            <w:shd w:val="clear" w:color="auto" w:fill="auto"/>
            <w:vAlign w:val="center"/>
          </w:tcPr>
          <w:p w14:paraId="114E5090">
            <w:pPr>
              <w:widowControl w:val="0"/>
              <w:kinsoku/>
              <w:adjustRightInd/>
              <w:snapToGrid/>
              <w:textAlignment w:val="auto"/>
              <w:rPr>
                <w:rFonts w:hint="eastAsia" w:ascii="仿宋" w:hAnsi="仿宋" w:eastAsia="仿宋" w:cs="仿宋"/>
                <w:snapToGrid/>
                <w:sz w:val="32"/>
                <w:szCs w:val="32"/>
                <w:lang w:val="zh-CN" w:eastAsia="zh-CN" w:bidi="zh-CN"/>
              </w:rPr>
            </w:pPr>
          </w:p>
        </w:tc>
      </w:tr>
      <w:tr w14:paraId="52EFD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466C01A">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350B0B3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2B1F113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（1）造成内部统计事故。</w:t>
            </w:r>
          </w:p>
        </w:tc>
        <w:tc>
          <w:tcPr>
            <w:vMerge w:val="continue"/>
            <w:shd w:val="clear" w:color="auto" w:fill="auto"/>
            <w:vAlign w:val="center"/>
          </w:tcPr>
          <w:p w14:paraId="6401A63A">
            <w:pPr>
              <w:widowControl w:val="0"/>
              <w:kinsoku/>
              <w:adjustRightInd/>
              <w:snapToGrid/>
              <w:textAlignment w:val="auto"/>
              <w:rPr>
                <w:rFonts w:hint="eastAsia" w:ascii="仿宋" w:hAnsi="仿宋" w:eastAsia="仿宋" w:cs="仿宋"/>
                <w:snapToGrid/>
                <w:sz w:val="32"/>
                <w:szCs w:val="32"/>
                <w:lang w:val="zh-CN" w:eastAsia="zh-CN" w:bidi="zh-CN"/>
              </w:rPr>
            </w:pPr>
          </w:p>
        </w:tc>
      </w:tr>
      <w:tr w14:paraId="54261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E81500B">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049DCC4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01ECBD0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（1）影响到周边居民及生态环境，引起居民抗争。</w:t>
            </w:r>
          </w:p>
        </w:tc>
        <w:tc>
          <w:tcPr>
            <w:vMerge w:val="continue"/>
            <w:shd w:val="clear" w:color="auto" w:fill="auto"/>
            <w:vAlign w:val="center"/>
          </w:tcPr>
          <w:p w14:paraId="3BED7446">
            <w:pPr>
              <w:widowControl w:val="0"/>
              <w:kinsoku/>
              <w:adjustRightInd/>
              <w:snapToGrid/>
              <w:textAlignment w:val="auto"/>
              <w:rPr>
                <w:rFonts w:hint="eastAsia" w:ascii="仿宋" w:hAnsi="仿宋" w:eastAsia="仿宋" w:cs="仿宋"/>
                <w:snapToGrid/>
                <w:sz w:val="32"/>
                <w:szCs w:val="32"/>
                <w:lang w:val="zh-CN" w:eastAsia="zh-CN" w:bidi="zh-CN"/>
              </w:rPr>
            </w:pPr>
          </w:p>
        </w:tc>
      </w:tr>
      <w:tr w14:paraId="0D781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AF342BF">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B9C0B9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40C34D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（1）造成1～2例难治愈或造成3～9例可治愈的职业病；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（2）造成9例以上与职业有关的疾病。</w:t>
            </w:r>
          </w:p>
        </w:tc>
        <w:tc>
          <w:tcPr>
            <w:vMerge w:val="continue"/>
            <w:shd w:val="clear" w:color="auto" w:fill="auto"/>
            <w:vAlign w:val="center"/>
          </w:tcPr>
          <w:p w14:paraId="595340C8">
            <w:pPr>
              <w:widowControl w:val="0"/>
              <w:kinsoku/>
              <w:adjustRightInd/>
              <w:snapToGrid/>
              <w:textAlignment w:val="auto"/>
              <w:rPr>
                <w:rFonts w:hint="eastAsia" w:ascii="仿宋" w:hAnsi="仿宋" w:eastAsia="仿宋" w:cs="仿宋"/>
                <w:snapToGrid/>
                <w:sz w:val="32"/>
                <w:szCs w:val="32"/>
                <w:lang w:val="zh-CN" w:eastAsia="zh-CN" w:bidi="zh-CN"/>
              </w:rPr>
            </w:pPr>
          </w:p>
        </w:tc>
      </w:tr>
      <w:tr w14:paraId="36519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1DFCF2A4">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shd w:val="clear" w:color="auto" w:fill="auto"/>
            <w:vAlign w:val="center"/>
          </w:tcPr>
          <w:p w14:paraId="2485388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14D7F48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（1）造成轻伤3人以上。</w:t>
            </w:r>
          </w:p>
        </w:tc>
        <w:tc>
          <w:tcPr>
            <w:vMerge w:val="restart"/>
            <w:shd w:val="clear" w:color="auto" w:fill="auto"/>
            <w:vAlign w:val="center"/>
          </w:tcPr>
          <w:p w14:paraId="3E8D23AF">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15</w:t>
            </w:r>
          </w:p>
        </w:tc>
      </w:tr>
      <w:tr w14:paraId="3E420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E31EC90">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8DF2971">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2AECE46B">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（1）造成设备或财产损失在10万元到50万元之间。</w:t>
            </w:r>
          </w:p>
        </w:tc>
        <w:tc>
          <w:tcPr>
            <w:vMerge w:val="continue"/>
            <w:shd w:val="clear" w:color="auto" w:fill="auto"/>
            <w:vAlign w:val="center"/>
          </w:tcPr>
          <w:p w14:paraId="75D19569">
            <w:pPr>
              <w:widowControl w:val="0"/>
              <w:kinsoku/>
              <w:adjustRightInd/>
              <w:snapToGrid/>
              <w:textAlignment w:val="auto"/>
              <w:rPr>
                <w:rFonts w:hint="eastAsia" w:ascii="仿宋" w:hAnsi="仿宋" w:eastAsia="仿宋" w:cs="仿宋"/>
                <w:snapToGrid/>
                <w:sz w:val="32"/>
                <w:szCs w:val="32"/>
                <w:lang w:val="zh-CN" w:eastAsia="zh-CN" w:bidi="zh-CN"/>
              </w:rPr>
            </w:pPr>
          </w:p>
        </w:tc>
      </w:tr>
      <w:tr w14:paraId="2546CD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6D0E34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6BE717D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01A7E33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（1）造成设备一类障碍。</w:t>
            </w:r>
          </w:p>
        </w:tc>
        <w:tc>
          <w:tcPr>
            <w:vMerge w:val="continue"/>
            <w:shd w:val="clear" w:color="auto" w:fill="auto"/>
            <w:vAlign w:val="center"/>
          </w:tcPr>
          <w:p w14:paraId="3933B1A4">
            <w:pPr>
              <w:widowControl w:val="0"/>
              <w:kinsoku/>
              <w:adjustRightInd/>
              <w:snapToGrid/>
              <w:textAlignment w:val="auto"/>
              <w:rPr>
                <w:rFonts w:hint="eastAsia" w:ascii="仿宋" w:hAnsi="仿宋" w:eastAsia="仿宋" w:cs="仿宋"/>
                <w:snapToGrid/>
                <w:sz w:val="32"/>
                <w:szCs w:val="32"/>
                <w:lang w:val="zh-CN" w:eastAsia="zh-CN" w:bidi="zh-CN"/>
              </w:rPr>
            </w:pPr>
          </w:p>
        </w:tc>
      </w:tr>
      <w:tr w14:paraId="5F8EA6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B28DDEA">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B9FEAF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1EBB3F53">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（1）对周边居民及环境有些影响，引起居民抱怨、投诉。</w:t>
            </w:r>
          </w:p>
        </w:tc>
        <w:tc>
          <w:tcPr>
            <w:vMerge w:val="continue"/>
            <w:shd w:val="clear" w:color="auto" w:fill="auto"/>
            <w:vAlign w:val="center"/>
          </w:tcPr>
          <w:p w14:paraId="59D50EDA">
            <w:pPr>
              <w:widowControl w:val="0"/>
              <w:kinsoku/>
              <w:adjustRightInd/>
              <w:snapToGrid/>
              <w:textAlignment w:val="auto"/>
              <w:rPr>
                <w:rFonts w:hint="eastAsia" w:ascii="仿宋" w:hAnsi="仿宋" w:eastAsia="仿宋" w:cs="仿宋"/>
                <w:snapToGrid/>
                <w:sz w:val="32"/>
                <w:szCs w:val="32"/>
                <w:lang w:val="zh-CN" w:eastAsia="zh-CN" w:bidi="zh-CN"/>
              </w:rPr>
            </w:pPr>
          </w:p>
        </w:tc>
      </w:tr>
      <w:tr w14:paraId="68E240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6B295D9">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8E04B1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6B03B05B">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（1）造成1～2例可治愈的职业病；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（2）造成3～9例与职业有关的疾病。</w:t>
            </w:r>
          </w:p>
        </w:tc>
        <w:tc>
          <w:tcPr>
            <w:vMerge w:val="continue"/>
            <w:shd w:val="clear" w:color="auto" w:fill="auto"/>
            <w:vAlign w:val="center"/>
          </w:tcPr>
          <w:p w14:paraId="4A93C452">
            <w:pPr>
              <w:widowControl w:val="0"/>
              <w:kinsoku/>
              <w:adjustRightInd/>
              <w:snapToGrid/>
              <w:textAlignment w:val="auto"/>
              <w:rPr>
                <w:rFonts w:hint="eastAsia" w:ascii="仿宋" w:hAnsi="仿宋" w:eastAsia="仿宋" w:cs="仿宋"/>
                <w:snapToGrid/>
                <w:sz w:val="32"/>
                <w:szCs w:val="32"/>
                <w:lang w:val="zh-CN" w:eastAsia="zh-CN" w:bidi="zh-CN"/>
              </w:rPr>
            </w:pPr>
          </w:p>
        </w:tc>
      </w:tr>
      <w:tr w14:paraId="5C1DA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C443E20">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c>
          <w:tcPr>
            <w:shd w:val="clear" w:color="auto" w:fill="auto"/>
            <w:vAlign w:val="center"/>
          </w:tcPr>
          <w:p w14:paraId="2BF84E6D">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76A51AAF">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（1）造成轻伤1～2人。</w:t>
            </w:r>
          </w:p>
        </w:tc>
        <w:tc>
          <w:tcPr>
            <w:vMerge w:val="restart"/>
            <w:shd w:val="clear" w:color="auto" w:fill="auto"/>
            <w:vAlign w:val="center"/>
          </w:tcPr>
          <w:p w14:paraId="2AC9BDA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5</w:t>
            </w:r>
          </w:p>
        </w:tc>
      </w:tr>
      <w:tr w14:paraId="7D5FFC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E19EB5D">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27A0FD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55D26DD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（1）造成设备或财产损失在2万元到10万元之间。</w:t>
            </w:r>
          </w:p>
        </w:tc>
        <w:tc>
          <w:tcPr>
            <w:vMerge w:val="continue"/>
            <w:shd w:val="clear" w:color="auto" w:fill="auto"/>
            <w:vAlign w:val="center"/>
          </w:tcPr>
          <w:p w14:paraId="44DA12D0">
            <w:pPr>
              <w:widowControl w:val="0"/>
              <w:kinsoku/>
              <w:adjustRightInd/>
              <w:snapToGrid/>
              <w:textAlignment w:val="auto"/>
              <w:rPr>
                <w:rFonts w:hint="eastAsia" w:ascii="仿宋" w:hAnsi="仿宋" w:eastAsia="仿宋" w:cs="仿宋"/>
                <w:snapToGrid/>
                <w:sz w:val="32"/>
                <w:szCs w:val="32"/>
                <w:lang w:val="zh-CN" w:eastAsia="zh-CN" w:bidi="zh-CN"/>
              </w:rPr>
            </w:pPr>
          </w:p>
        </w:tc>
      </w:tr>
      <w:tr w14:paraId="44111C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B9E21D4">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2DB2F43A">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3E9D6990">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（1）造成设备二类障碍。</w:t>
            </w:r>
          </w:p>
        </w:tc>
        <w:tc>
          <w:tcPr>
            <w:vMerge w:val="continue"/>
            <w:shd w:val="clear" w:color="auto" w:fill="auto"/>
            <w:vAlign w:val="center"/>
          </w:tcPr>
          <w:p w14:paraId="578B0FC3">
            <w:pPr>
              <w:widowControl w:val="0"/>
              <w:kinsoku/>
              <w:adjustRightInd/>
              <w:snapToGrid/>
              <w:textAlignment w:val="auto"/>
              <w:rPr>
                <w:rFonts w:hint="eastAsia" w:ascii="仿宋" w:hAnsi="仿宋" w:eastAsia="仿宋" w:cs="仿宋"/>
                <w:snapToGrid/>
                <w:sz w:val="32"/>
                <w:szCs w:val="32"/>
                <w:lang w:val="zh-CN" w:eastAsia="zh-CN" w:bidi="zh-CN"/>
              </w:rPr>
            </w:pPr>
          </w:p>
        </w:tc>
      </w:tr>
      <w:tr w14:paraId="58EB23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B6E0D8A">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84E3E5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2F3EF8F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（1）轻度影响到周边居民及小范围（现场）生态环境。</w:t>
            </w:r>
          </w:p>
        </w:tc>
        <w:tc>
          <w:tcPr>
            <w:vMerge w:val="continue"/>
            <w:shd w:val="clear" w:color="auto" w:fill="auto"/>
            <w:vAlign w:val="center"/>
          </w:tcPr>
          <w:p w14:paraId="2443E1C9">
            <w:pPr>
              <w:widowControl w:val="0"/>
              <w:kinsoku/>
              <w:adjustRightInd/>
              <w:snapToGrid/>
              <w:textAlignment w:val="auto"/>
              <w:rPr>
                <w:rFonts w:hint="eastAsia" w:ascii="仿宋" w:hAnsi="仿宋" w:eastAsia="仿宋" w:cs="仿宋"/>
                <w:snapToGrid/>
                <w:sz w:val="32"/>
                <w:szCs w:val="32"/>
                <w:lang w:val="zh-CN" w:eastAsia="zh-CN" w:bidi="zh-CN"/>
              </w:rPr>
            </w:pPr>
          </w:p>
        </w:tc>
      </w:tr>
      <w:tr w14:paraId="188161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DA0602E">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8003AA3">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EA351BA">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（1）造成1～2例与职业有关的疾病；</w:t>
            </w:r>
            <w:r>
              <w:rPr>
                <w:rFonts w:hint="eastAsia" w:ascii="仿宋" w:hAnsi="仿宋" w:eastAsia="仿宋" w:cs="仿宋"/>
                <w:sz w:val="32"/>
                <w:szCs w:val="32"/>
                <w:lang w:val="zh-CN" w:eastAsia="zh-CN" w:bidi="zh-CN"/>
              </w:rPr>
              <w:br w:type="textWrapping"/>
            </w:r>
            <w:r>
              <w:rPr>
                <w:rFonts w:hint="eastAsia" w:ascii="仿宋" w:hAnsi="仿宋" w:eastAsia="仿宋" w:cs="仿宋"/>
                <w:sz w:val="32"/>
                <w:szCs w:val="32"/>
                <w:lang w:val="zh-CN" w:eastAsia="zh-CN" w:bidi="zh-CN"/>
              </w:rPr>
              <w:t>（2）造成3～9例有影响健康的事件。</w:t>
            </w:r>
          </w:p>
        </w:tc>
        <w:tc>
          <w:tcPr>
            <w:vMerge w:val="continue"/>
            <w:shd w:val="clear" w:color="auto" w:fill="auto"/>
            <w:vAlign w:val="center"/>
          </w:tcPr>
          <w:p w14:paraId="21AD04E9">
            <w:pPr>
              <w:widowControl w:val="0"/>
              <w:kinsoku/>
              <w:adjustRightInd/>
              <w:snapToGrid/>
              <w:textAlignment w:val="auto"/>
              <w:rPr>
                <w:rFonts w:hint="eastAsia" w:ascii="仿宋" w:hAnsi="仿宋" w:eastAsia="仿宋" w:cs="仿宋"/>
                <w:snapToGrid/>
                <w:sz w:val="32"/>
                <w:szCs w:val="32"/>
                <w:lang w:val="zh-CN" w:eastAsia="zh-CN" w:bidi="zh-CN"/>
              </w:rPr>
            </w:pPr>
          </w:p>
        </w:tc>
      </w:tr>
      <w:tr w14:paraId="2760A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19558D3B">
            <w:pPr>
              <w:widowControl w:val="0"/>
              <w:autoSpaceDE w:val="0"/>
              <w:autoSpaceDN w:val="0"/>
              <w:spacing w:before="60" w:after="60"/>
              <w:ind w:left="108"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6</w:t>
            </w:r>
          </w:p>
        </w:tc>
        <w:tc>
          <w:tcPr>
            <w:shd w:val="clear" w:color="auto" w:fill="auto"/>
            <w:vAlign w:val="center"/>
          </w:tcPr>
          <w:p w14:paraId="47C5B75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人员伤亡</w:t>
            </w:r>
          </w:p>
        </w:tc>
        <w:tc>
          <w:tcPr>
            <w:shd w:val="clear" w:color="auto" w:fill="auto"/>
            <w:vAlign w:val="center"/>
          </w:tcPr>
          <w:p w14:paraId="3C64EB1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（1）可能造成人员轻微的伤害（小的割伤、擦伤、撞伤）。</w:t>
            </w:r>
          </w:p>
        </w:tc>
        <w:tc>
          <w:tcPr>
            <w:vMerge w:val="restart"/>
            <w:shd w:val="clear" w:color="auto" w:fill="auto"/>
            <w:vAlign w:val="center"/>
          </w:tcPr>
          <w:p w14:paraId="2596813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r>
      <w:tr w14:paraId="34B35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8ADFBD1">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75C7036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设备损坏</w:t>
            </w:r>
          </w:p>
        </w:tc>
        <w:tc>
          <w:tcPr>
            <w:shd w:val="clear" w:color="auto" w:fill="auto"/>
            <w:vAlign w:val="center"/>
          </w:tcPr>
          <w:p w14:paraId="2B78D391">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（1）可能造成设备或财产损失在2万元以下。</w:t>
            </w:r>
          </w:p>
        </w:tc>
        <w:tc>
          <w:tcPr>
            <w:vMerge w:val="continue"/>
            <w:shd w:val="clear" w:color="auto" w:fill="auto"/>
            <w:vAlign w:val="center"/>
          </w:tcPr>
          <w:p w14:paraId="093865BE">
            <w:pPr>
              <w:widowControl w:val="0"/>
              <w:kinsoku/>
              <w:adjustRightInd/>
              <w:snapToGrid/>
              <w:textAlignment w:val="auto"/>
              <w:rPr>
                <w:rFonts w:hint="eastAsia" w:ascii="仿宋" w:hAnsi="仿宋" w:eastAsia="仿宋" w:cs="仿宋"/>
                <w:snapToGrid/>
                <w:sz w:val="32"/>
                <w:szCs w:val="32"/>
                <w:lang w:val="zh-CN" w:eastAsia="zh-CN" w:bidi="zh-CN"/>
              </w:rPr>
            </w:pPr>
          </w:p>
        </w:tc>
      </w:tr>
      <w:tr w14:paraId="2815C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CE02163">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94BEBC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生产中断</w:t>
            </w:r>
          </w:p>
        </w:tc>
        <w:tc>
          <w:tcPr>
            <w:shd w:val="clear" w:color="auto" w:fill="auto"/>
            <w:vAlign w:val="center"/>
          </w:tcPr>
          <w:p w14:paraId="11BB3994">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（1）造成设备异常。</w:t>
            </w:r>
          </w:p>
        </w:tc>
        <w:tc>
          <w:tcPr>
            <w:vMerge w:val="continue"/>
            <w:shd w:val="clear" w:color="auto" w:fill="auto"/>
            <w:vAlign w:val="center"/>
          </w:tcPr>
          <w:p w14:paraId="1C6C5FA1">
            <w:pPr>
              <w:widowControl w:val="0"/>
              <w:kinsoku/>
              <w:adjustRightInd/>
              <w:snapToGrid/>
              <w:textAlignment w:val="auto"/>
              <w:rPr>
                <w:rFonts w:hint="eastAsia" w:ascii="仿宋" w:hAnsi="仿宋" w:eastAsia="仿宋" w:cs="仿宋"/>
                <w:snapToGrid/>
                <w:sz w:val="32"/>
                <w:szCs w:val="32"/>
                <w:lang w:val="zh-CN" w:eastAsia="zh-CN" w:bidi="zh-CN"/>
              </w:rPr>
            </w:pPr>
          </w:p>
        </w:tc>
      </w:tr>
      <w:tr w14:paraId="7BDE0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2D1BC07">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5EFE454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环境污染</w:t>
            </w:r>
          </w:p>
        </w:tc>
        <w:tc>
          <w:tcPr>
            <w:shd w:val="clear" w:color="auto" w:fill="auto"/>
            <w:vAlign w:val="center"/>
          </w:tcPr>
          <w:p w14:paraId="0AB8C917">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（1）对现场景观有轻度影响。</w:t>
            </w:r>
          </w:p>
        </w:tc>
        <w:tc>
          <w:tcPr>
            <w:vMerge w:val="continue"/>
            <w:shd w:val="clear" w:color="auto" w:fill="auto"/>
            <w:vAlign w:val="center"/>
          </w:tcPr>
          <w:p w14:paraId="13B76B55">
            <w:pPr>
              <w:widowControl w:val="0"/>
              <w:kinsoku/>
              <w:adjustRightInd/>
              <w:snapToGrid/>
              <w:textAlignment w:val="auto"/>
              <w:rPr>
                <w:rFonts w:hint="eastAsia" w:ascii="仿宋" w:hAnsi="仿宋" w:eastAsia="仿宋" w:cs="仿宋"/>
                <w:snapToGrid/>
                <w:sz w:val="32"/>
                <w:szCs w:val="32"/>
                <w:lang w:val="zh-CN" w:eastAsia="zh-CN" w:bidi="zh-CN"/>
              </w:rPr>
            </w:pPr>
          </w:p>
        </w:tc>
      </w:tr>
      <w:tr w14:paraId="38687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4FEDAA9">
            <w:pPr>
              <w:widowControl w:val="0"/>
              <w:kinsoku/>
              <w:adjustRightInd/>
              <w:snapToGrid/>
              <w:textAlignment w:val="auto"/>
              <w:rPr>
                <w:rFonts w:hint="eastAsia" w:ascii="仿宋" w:hAnsi="仿宋" w:eastAsia="仿宋" w:cs="仿宋"/>
                <w:snapToGrid/>
                <w:sz w:val="32"/>
                <w:szCs w:val="32"/>
                <w:lang w:val="zh-CN" w:eastAsia="zh-CN" w:bidi="zh-CN"/>
              </w:rPr>
            </w:pPr>
          </w:p>
        </w:tc>
        <w:tc>
          <w:tcPr>
            <w:shd w:val="clear" w:color="auto" w:fill="auto"/>
            <w:vAlign w:val="center"/>
          </w:tcPr>
          <w:p w14:paraId="16D73D2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职业健康损害</w:t>
            </w:r>
          </w:p>
        </w:tc>
        <w:tc>
          <w:tcPr>
            <w:shd w:val="clear" w:color="auto" w:fill="auto"/>
            <w:vAlign w:val="center"/>
          </w:tcPr>
          <w:p w14:paraId="3E8782B8">
            <w:pPr>
              <w:widowControl w:val="0"/>
              <w:autoSpaceDE w:val="0"/>
              <w:autoSpaceDN w:val="0"/>
              <w:spacing w:before="60" w:after="60"/>
              <w:ind w:left="0" w:leftChars="0" w:firstLine="0" w:firstLineChars="0"/>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（1）可能造成1～2例有健康影响的事件。</w:t>
            </w:r>
          </w:p>
        </w:tc>
        <w:tc>
          <w:tcPr>
            <w:vMerge w:val="continue"/>
            <w:shd w:val="clear" w:color="auto" w:fill="auto"/>
            <w:vAlign w:val="center"/>
          </w:tcPr>
          <w:p w14:paraId="2CD2213D">
            <w:pPr>
              <w:widowControl w:val="0"/>
              <w:kinsoku/>
              <w:adjustRightInd/>
              <w:snapToGrid/>
              <w:textAlignment w:val="auto"/>
              <w:rPr>
                <w:rFonts w:hint="eastAsia" w:ascii="仿宋" w:hAnsi="仿宋" w:eastAsia="仿宋" w:cs="仿宋"/>
                <w:snapToGrid/>
                <w:sz w:val="32"/>
                <w:szCs w:val="32"/>
                <w:lang w:val="zh-CN" w:eastAsia="zh-CN" w:bidi="zh-CN"/>
              </w:rPr>
            </w:pPr>
          </w:p>
        </w:tc>
      </w:tr>
    </w:tbl>
    <w:p w14:paraId="0689EC8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z w:val="32"/>
          <w:szCs w:val="32"/>
          <w:lang w:val="zh-CN" w:eastAsia="zh-CN" w:bidi="zh-CN"/>
        </w:rPr>
      </w:pPr>
    </w:p>
    <w:p w14:paraId="20A9558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lang w:val="zh-CN" w:eastAsia="zh-CN" w:bidi="zh-CN"/>
        </w:rPr>
      </w:pPr>
      <w:r>
        <w:rPr>
          <w:rFonts w:hint="eastAsia" w:ascii="仿宋" w:hAnsi="仿宋" w:eastAsia="仿宋" w:cs="仿宋"/>
          <w:b/>
          <w:bCs/>
          <w:sz w:val="32"/>
          <w:szCs w:val="32"/>
          <w:lang w:val="zh-CN" w:eastAsia="zh-CN" w:bidi="zh-CN"/>
        </w:rPr>
        <w:t>表4</w:t>
      </w:r>
      <w:r>
        <w:rPr>
          <w:rFonts w:hint="eastAsia" w:ascii="仿宋" w:hAnsi="仿宋" w:eastAsia="仿宋" w:cs="仿宋"/>
          <w:b/>
          <w:bCs/>
          <w:sz w:val="32"/>
          <w:szCs w:val="32"/>
          <w:lang w:val="en-US" w:eastAsia="zh-CN" w:bidi="zh-CN"/>
        </w:rPr>
        <w:t xml:space="preserve"> </w:t>
      </w:r>
      <w:r>
        <w:rPr>
          <w:rFonts w:hint="eastAsia" w:ascii="仿宋" w:hAnsi="仿宋" w:eastAsia="仿宋" w:cs="仿宋"/>
          <w:b/>
          <w:bCs/>
          <w:sz w:val="32"/>
          <w:szCs w:val="32"/>
          <w:lang w:val="zh-CN" w:eastAsia="zh-CN" w:bidi="zh-CN"/>
        </w:rPr>
        <w:t>风险等级（D=L×E×C）标准</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076"/>
        <w:gridCol w:w="3477"/>
        <w:gridCol w:w="2839"/>
      </w:tblGrid>
      <w:tr w14:paraId="621A9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76" w:type="dxa"/>
            <w:shd w:val="clear" w:color="auto" w:fill="auto"/>
            <w:vAlign w:val="center"/>
          </w:tcPr>
          <w:p w14:paraId="03A7DB6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序号</w:t>
            </w:r>
          </w:p>
        </w:tc>
        <w:tc>
          <w:tcPr>
            <w:tcW w:w="3477" w:type="dxa"/>
            <w:shd w:val="clear" w:color="auto" w:fill="auto"/>
            <w:vAlign w:val="center"/>
          </w:tcPr>
          <w:p w14:paraId="26E5ECFC">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风险等级</w:t>
            </w:r>
          </w:p>
        </w:tc>
        <w:tc>
          <w:tcPr>
            <w:tcW w:w="2839" w:type="dxa"/>
            <w:shd w:val="clear" w:color="auto" w:fill="auto"/>
            <w:vAlign w:val="center"/>
          </w:tcPr>
          <w:p w14:paraId="1735150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b/>
                <w:bCs/>
                <w:sz w:val="32"/>
                <w:szCs w:val="32"/>
                <w:lang w:val="zh-CN" w:eastAsia="zh-CN" w:bidi="zh-CN"/>
              </w:rPr>
              <w:t>判定条件</w:t>
            </w:r>
          </w:p>
        </w:tc>
      </w:tr>
      <w:tr w14:paraId="75A2E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76" w:type="dxa"/>
            <w:shd w:val="clear" w:color="auto" w:fill="auto"/>
            <w:vAlign w:val="center"/>
          </w:tcPr>
          <w:p w14:paraId="0B189D65">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1</w:t>
            </w:r>
          </w:p>
        </w:tc>
        <w:tc>
          <w:tcPr>
            <w:tcW w:w="3477" w:type="dxa"/>
            <w:shd w:val="clear" w:color="auto" w:fill="auto"/>
            <w:vAlign w:val="center"/>
          </w:tcPr>
          <w:p w14:paraId="6C434DB8">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重大风险</w:t>
            </w:r>
          </w:p>
        </w:tc>
        <w:tc>
          <w:tcPr>
            <w:tcW w:w="2839" w:type="dxa"/>
            <w:shd w:val="clear" w:color="auto" w:fill="auto"/>
            <w:vAlign w:val="center"/>
          </w:tcPr>
          <w:p w14:paraId="7CFF1C34">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D≥400</w:t>
            </w:r>
          </w:p>
        </w:tc>
      </w:tr>
      <w:tr w14:paraId="48E65D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76" w:type="dxa"/>
            <w:shd w:val="clear" w:color="auto" w:fill="auto"/>
            <w:vAlign w:val="center"/>
          </w:tcPr>
          <w:p w14:paraId="7232A89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w:t>
            </w:r>
          </w:p>
        </w:tc>
        <w:tc>
          <w:tcPr>
            <w:tcW w:w="3477" w:type="dxa"/>
            <w:shd w:val="clear" w:color="auto" w:fill="auto"/>
            <w:vAlign w:val="center"/>
          </w:tcPr>
          <w:p w14:paraId="5D22B03B">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较大风险</w:t>
            </w:r>
          </w:p>
        </w:tc>
        <w:tc>
          <w:tcPr>
            <w:tcW w:w="2839" w:type="dxa"/>
            <w:shd w:val="clear" w:color="auto" w:fill="auto"/>
            <w:vAlign w:val="center"/>
          </w:tcPr>
          <w:p w14:paraId="06951177">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200≤D＜400</w:t>
            </w:r>
          </w:p>
        </w:tc>
      </w:tr>
      <w:tr w14:paraId="0ED94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76" w:type="dxa"/>
            <w:shd w:val="clear" w:color="auto" w:fill="auto"/>
            <w:vAlign w:val="center"/>
          </w:tcPr>
          <w:p w14:paraId="6283075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3</w:t>
            </w:r>
          </w:p>
        </w:tc>
        <w:tc>
          <w:tcPr>
            <w:tcW w:w="3477" w:type="dxa"/>
            <w:shd w:val="clear" w:color="auto" w:fill="auto"/>
            <w:vAlign w:val="center"/>
          </w:tcPr>
          <w:p w14:paraId="3EB8BC5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一般风险</w:t>
            </w:r>
          </w:p>
        </w:tc>
        <w:tc>
          <w:tcPr>
            <w:tcW w:w="2839" w:type="dxa"/>
            <w:shd w:val="clear" w:color="auto" w:fill="auto"/>
            <w:vAlign w:val="center"/>
          </w:tcPr>
          <w:p w14:paraId="70FE622E">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70≤D＜200</w:t>
            </w:r>
          </w:p>
        </w:tc>
      </w:tr>
      <w:tr w14:paraId="61A55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076" w:type="dxa"/>
            <w:shd w:val="clear" w:color="auto" w:fill="auto"/>
            <w:vAlign w:val="center"/>
          </w:tcPr>
          <w:p w14:paraId="1D6286E9">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4</w:t>
            </w:r>
          </w:p>
        </w:tc>
        <w:tc>
          <w:tcPr>
            <w:tcW w:w="3477" w:type="dxa"/>
            <w:shd w:val="clear" w:color="auto" w:fill="auto"/>
            <w:vAlign w:val="center"/>
          </w:tcPr>
          <w:p w14:paraId="5678BAB6">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低风险</w:t>
            </w:r>
          </w:p>
        </w:tc>
        <w:tc>
          <w:tcPr>
            <w:tcW w:w="2839" w:type="dxa"/>
            <w:shd w:val="clear" w:color="auto" w:fill="auto"/>
            <w:vAlign w:val="center"/>
          </w:tcPr>
          <w:p w14:paraId="3FC9D3D2">
            <w:pPr>
              <w:widowControl w:val="0"/>
              <w:autoSpaceDE w:val="0"/>
              <w:autoSpaceDN w:val="0"/>
              <w:spacing w:before="60" w:after="60"/>
              <w:ind w:left="0" w:leftChars="0" w:firstLine="0" w:firstLineChars="0"/>
              <w:jc w:val="center"/>
              <w:rPr>
                <w:rFonts w:hint="eastAsia" w:ascii="仿宋" w:hAnsi="仿宋" w:eastAsia="仿宋" w:cs="仿宋"/>
                <w:sz w:val="32"/>
                <w:szCs w:val="32"/>
                <w:lang w:val="zh-CN" w:eastAsia="zh-CN" w:bidi="zh-CN"/>
              </w:rPr>
            </w:pPr>
            <w:r>
              <w:rPr>
                <w:rFonts w:hint="eastAsia" w:ascii="仿宋" w:hAnsi="仿宋" w:eastAsia="仿宋" w:cs="仿宋"/>
                <w:sz w:val="32"/>
                <w:szCs w:val="32"/>
                <w:lang w:val="zh-CN" w:eastAsia="zh-CN" w:bidi="zh-CN"/>
              </w:rPr>
              <w:t>D＜70</w:t>
            </w:r>
          </w:p>
        </w:tc>
      </w:tr>
    </w:tbl>
    <w:p w14:paraId="155B2178">
      <w:pPr>
        <w:widowControl w:val="0"/>
        <w:kinsoku/>
        <w:adjustRightInd/>
        <w:snapToGrid/>
        <w:textAlignment w:val="auto"/>
        <w:rPr>
          <w:rFonts w:ascii="宋体" w:hAnsi="宋体" w:eastAsia="宋体" w:cs="宋体"/>
          <w:snapToGrid/>
          <w:sz w:val="22"/>
          <w:szCs w:val="22"/>
          <w:lang w:val="zh-CN" w:eastAsia="zh-CN" w:bidi="zh-CN"/>
        </w:rPr>
      </w:pPr>
    </w:p>
    <w:p w14:paraId="53BE5951">
      <w:pPr>
        <w:widowControl w:val="0"/>
        <w:autoSpaceDE w:val="0"/>
        <w:autoSpaceDN w:val="0"/>
        <w:ind w:left="108" w:firstLine="535"/>
        <w:rPr>
          <w:rFonts w:hint="eastAsia" w:ascii="宋体" w:hAnsi="宋体" w:eastAsia="宋体" w:cs="宋体"/>
          <w:sz w:val="28"/>
          <w:szCs w:val="28"/>
          <w:lang w:val="en-US" w:eastAsia="zh-CN" w:bidi="zh-CN"/>
        </w:rPr>
      </w:pPr>
    </w:p>
    <w:p w14:paraId="43008C4B">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default" w:ascii="仿宋" w:hAnsi="仿宋" w:eastAsia="仿宋" w:cs="仿宋"/>
          <w:spacing w:val="0"/>
          <w:sz w:val="32"/>
          <w:szCs w:val="32"/>
          <w:lang w:eastAsia="zh-CN"/>
        </w:rPr>
      </w:pPr>
    </w:p>
    <w:sectPr>
      <w:footerReference r:id="rId6"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E5049E-A51E-4740-B3F1-59DE51F188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CC30E36-21BD-4744-98CC-B3B76CC98816}"/>
  </w:font>
  <w:font w:name="方正小标宋简体">
    <w:panose1 w:val="02010600010101010101"/>
    <w:charset w:val="86"/>
    <w:family w:val="auto"/>
    <w:pitch w:val="default"/>
    <w:sig w:usb0="00000001" w:usb1="080E0000" w:usb2="00000000" w:usb3="00000000" w:csb0="00040000" w:csb1="00000000"/>
    <w:embedRegular r:id="rId3" w:fontKey="{CEFD3798-5E1A-4847-9509-F14C6C2D7DCA}"/>
  </w:font>
  <w:font w:name="楷体">
    <w:panose1 w:val="02010609060101010101"/>
    <w:charset w:val="86"/>
    <w:family w:val="modern"/>
    <w:pitch w:val="default"/>
    <w:sig w:usb0="800002BF" w:usb1="38CF7CFA" w:usb2="00000016" w:usb3="00000000" w:csb0="00040001" w:csb1="00000000"/>
    <w:embedRegular r:id="rId4" w:fontKey="{83E139F0-4E75-4775-BCC9-ED07DD428E9A}"/>
  </w:font>
  <w:font w:name="仿宋_GB2312">
    <w:panose1 w:val="02010609030101010101"/>
    <w:charset w:val="86"/>
    <w:family w:val="auto"/>
    <w:pitch w:val="default"/>
    <w:sig w:usb0="00000001" w:usb1="080E0000" w:usb2="00000000" w:usb3="00000000" w:csb0="00040000" w:csb1="00000000"/>
    <w:embedRegular r:id="rId5" w:fontKey="{A4E52D56-305C-49FD-8429-FA30876AC9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945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852B">
    <w:pPr>
      <w:pStyle w:val="5"/>
    </w:pPr>
    <w:r>
      <mc:AlternateContent>
        <mc:Choice Requires="wps">
          <w:drawing>
            <wp:anchor distT="0" distB="0" distL="114300" distR="114300" simplePos="0" relativeHeight="251659264" behindDoc="0" locked="0" layoutInCell="1" allowOverlap="1">
              <wp:simplePos x="0" y="0"/>
              <wp:positionH relativeFrom="margin">
                <wp:posOffset>4853940</wp:posOffset>
              </wp:positionH>
              <wp:positionV relativeFrom="paragraph">
                <wp:posOffset>-10795</wp:posOffset>
              </wp:positionV>
              <wp:extent cx="747395" cy="2343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47395" cy="2343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0700D">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2.2pt;margin-top:-0.85pt;height:18.45pt;width:58.85pt;mso-position-horizontal-relative:margin;z-index:251659264;mso-width-relative:page;mso-height-relative:page;" filled="f" stroked="f" coordsize="21600,21600" o:gfxdata="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uVrBNkAAAAJAQAADwAAAAAAAAABACAAAAAiAAAAZHJzL2Rvd25yZXYu&#10;eG1sUEsBAhQAFAAAAAgAh07iQP7603MzAgAAVQQAAA4AAAAAAAAAAQAgAAAAKAEAAGRycy9lMm9E&#10;b2MueG1sUEsFBgAAAAAGAAYAWQEAAM0FAAAAAA==&#10;">
              <v:fill on="f" focussize="0,0"/>
              <v:stroke on="f" weight="0.5pt"/>
              <v:imagedata o:title=""/>
              <o:lock v:ext="edit" aspectratio="f"/>
              <v:textbox inset="0mm,0mm,0mm,0mm">
                <w:txbxContent>
                  <w:p w14:paraId="7E90700D">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AC2D">
    <w:pPr>
      <w:pStyle w:val="4"/>
      <w:spacing w:line="14" w:lineRule="auto"/>
      <w:ind w:left="0" w:firstLine="0"/>
      <w:rPr>
        <w:rFonts w:hint="eastAsia"/>
        <w:sz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209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870" cy="209550"/>
                      </a:xfrm>
                      <a:prstGeom prst="rect">
                        <a:avLst/>
                      </a:prstGeom>
                      <a:noFill/>
                      <a:ln>
                        <a:noFill/>
                      </a:ln>
                    </wps:spPr>
                    <wps:txbx>
                      <w:txbxContent>
                        <w:p w14:paraId="67F6E87D">
                          <w:pPr>
                            <w:spacing w:before="12"/>
                            <w:ind w:left="20"/>
                            <w:jc w:val="both"/>
                            <w:rPr>
                              <w:rFonts w:hint="eastAsia" w:asciiTheme="majorEastAsia" w:hAnsiTheme="majorEastAsia" w:eastAsiaTheme="majorEastAsia" w:cstheme="majorEastAsia"/>
                              <w:sz w:val="28"/>
                              <w:szCs w:val="40"/>
                            </w:rPr>
                          </w:pPr>
                          <w:r>
                            <w:rPr>
                              <w:rFonts w:hint="eastAsia" w:asciiTheme="majorEastAsia" w:hAnsiTheme="majorEastAsia" w:eastAsiaTheme="majorEastAsia" w:cstheme="majorEastAsia"/>
                              <w:sz w:val="28"/>
                              <w:szCs w:val="40"/>
                            </w:rPr>
                            <w:t xml:space="preserve">— </w:t>
                          </w:r>
                          <w:r>
                            <w:rPr>
                              <w:rFonts w:hint="eastAsia" w:asciiTheme="majorEastAsia" w:hAnsiTheme="majorEastAsia" w:eastAsiaTheme="majorEastAsia" w:cstheme="majorEastAsia"/>
                              <w:sz w:val="28"/>
                              <w:szCs w:val="40"/>
                            </w:rPr>
                            <w:fldChar w:fldCharType="begin"/>
                          </w:r>
                          <w:r>
                            <w:rPr>
                              <w:rFonts w:hint="eastAsia" w:asciiTheme="majorEastAsia" w:hAnsiTheme="majorEastAsia" w:eastAsiaTheme="majorEastAsia" w:cstheme="majorEastAsia"/>
                              <w:sz w:val="28"/>
                              <w:szCs w:val="40"/>
                            </w:rPr>
                            <w:instrText xml:space="preserve"> PAGE  \* MERGEFORMAT </w:instrText>
                          </w:r>
                          <w:r>
                            <w:rPr>
                              <w:rFonts w:hint="eastAsia" w:asciiTheme="majorEastAsia" w:hAnsiTheme="majorEastAsia" w:eastAsiaTheme="majorEastAsia" w:cstheme="majorEastAsia"/>
                              <w:sz w:val="28"/>
                              <w:szCs w:val="40"/>
                            </w:rPr>
                            <w:fldChar w:fldCharType="separate"/>
                          </w:r>
                          <w:r>
                            <w:rPr>
                              <w:rFonts w:hint="eastAsia" w:asciiTheme="majorEastAsia" w:hAnsiTheme="majorEastAsia" w:eastAsiaTheme="majorEastAsia" w:cstheme="majorEastAsia"/>
                              <w:sz w:val="28"/>
                              <w:szCs w:val="40"/>
                            </w:rPr>
                            <w:t>1</w:t>
                          </w:r>
                          <w:r>
                            <w:rPr>
                              <w:rFonts w:hint="eastAsia" w:asciiTheme="majorEastAsia" w:hAnsiTheme="majorEastAsia" w:eastAsiaTheme="majorEastAsia" w:cstheme="majorEastAsia"/>
                              <w:sz w:val="28"/>
                              <w:szCs w:val="40"/>
                            </w:rPr>
                            <w:fldChar w:fldCharType="end"/>
                          </w:r>
                          <w:r>
                            <w:rPr>
                              <w:rFonts w:hint="eastAsia" w:asciiTheme="majorEastAsia" w:hAnsiTheme="majorEastAsia" w:eastAsiaTheme="majorEastAsia" w:cstheme="majorEastAsia"/>
                              <w:sz w:val="28"/>
                              <w:szCs w:val="40"/>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5pt;width:58.1pt;mso-position-horizontal:outside;mso-position-horizontal-relative:margin;z-index:251659264;mso-width-relative:page;mso-height-relative:page;" filled="f" stroked="f" coordsize="21600,21600" o:gfxdata="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mYjnUAAAABAEAAA8AAAAAAAAAAQAgAAAAIgAAAGRycy9kb3ducmV2LnhtbFBLAQIUABQA&#10;AAAIAIdO4kCxrnLVuwEAAHEDAAAOAAAAAAAAAAEAIAAAACMBAABkcnMvZTJvRG9jLnhtbFBLBQYA&#10;AAAABgAGAFkBAABQBQAAAAA=&#10;">
              <v:fill on="f" focussize="0,0"/>
              <v:stroke on="f"/>
              <v:imagedata o:title=""/>
              <o:lock v:ext="edit" aspectratio="f"/>
              <v:textbox inset="0mm,0mm,0mm,0mm">
                <w:txbxContent>
                  <w:p w14:paraId="67F6E87D">
                    <w:pPr>
                      <w:spacing w:before="12"/>
                      <w:ind w:left="20"/>
                      <w:jc w:val="both"/>
                      <w:rPr>
                        <w:rFonts w:hint="eastAsia" w:asciiTheme="majorEastAsia" w:hAnsiTheme="majorEastAsia" w:eastAsiaTheme="majorEastAsia" w:cstheme="majorEastAsia"/>
                        <w:sz w:val="28"/>
                        <w:szCs w:val="40"/>
                      </w:rPr>
                    </w:pPr>
                    <w:r>
                      <w:rPr>
                        <w:rFonts w:hint="eastAsia" w:asciiTheme="majorEastAsia" w:hAnsiTheme="majorEastAsia" w:eastAsiaTheme="majorEastAsia" w:cstheme="majorEastAsia"/>
                        <w:sz w:val="28"/>
                        <w:szCs w:val="40"/>
                      </w:rPr>
                      <w:t xml:space="preserve">— </w:t>
                    </w:r>
                    <w:r>
                      <w:rPr>
                        <w:rFonts w:hint="eastAsia" w:asciiTheme="majorEastAsia" w:hAnsiTheme="majorEastAsia" w:eastAsiaTheme="majorEastAsia" w:cstheme="majorEastAsia"/>
                        <w:sz w:val="28"/>
                        <w:szCs w:val="40"/>
                      </w:rPr>
                      <w:fldChar w:fldCharType="begin"/>
                    </w:r>
                    <w:r>
                      <w:rPr>
                        <w:rFonts w:hint="eastAsia" w:asciiTheme="majorEastAsia" w:hAnsiTheme="majorEastAsia" w:eastAsiaTheme="majorEastAsia" w:cstheme="majorEastAsia"/>
                        <w:sz w:val="28"/>
                        <w:szCs w:val="40"/>
                      </w:rPr>
                      <w:instrText xml:space="preserve"> PAGE  \* MERGEFORMAT </w:instrText>
                    </w:r>
                    <w:r>
                      <w:rPr>
                        <w:rFonts w:hint="eastAsia" w:asciiTheme="majorEastAsia" w:hAnsiTheme="majorEastAsia" w:eastAsiaTheme="majorEastAsia" w:cstheme="majorEastAsia"/>
                        <w:sz w:val="28"/>
                        <w:szCs w:val="40"/>
                      </w:rPr>
                      <w:fldChar w:fldCharType="separate"/>
                    </w:r>
                    <w:r>
                      <w:rPr>
                        <w:rFonts w:hint="eastAsia" w:asciiTheme="majorEastAsia" w:hAnsiTheme="majorEastAsia" w:eastAsiaTheme="majorEastAsia" w:cstheme="majorEastAsia"/>
                        <w:sz w:val="28"/>
                        <w:szCs w:val="40"/>
                      </w:rPr>
                      <w:t>1</w:t>
                    </w:r>
                    <w:r>
                      <w:rPr>
                        <w:rFonts w:hint="eastAsia" w:asciiTheme="majorEastAsia" w:hAnsiTheme="majorEastAsia" w:eastAsiaTheme="majorEastAsia" w:cstheme="majorEastAsia"/>
                        <w:sz w:val="28"/>
                        <w:szCs w:val="40"/>
                      </w:rPr>
                      <w:fldChar w:fldCharType="end"/>
                    </w:r>
                    <w:r>
                      <w:rPr>
                        <w:rFonts w:hint="eastAsia" w:asciiTheme="majorEastAsia" w:hAnsiTheme="majorEastAsia" w:eastAsiaTheme="majorEastAsia" w:cstheme="majorEastAsia"/>
                        <w:sz w:val="28"/>
                        <w:szCs w:val="4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3C47">
    <w:pPr>
      <w:widowControl w:val="0"/>
      <w:tabs>
        <w:tab w:val="center" w:pos="4153"/>
        <w:tab w:val="right" w:pos="8306"/>
      </w:tabs>
      <w:autoSpaceDE w:val="0"/>
      <w:autoSpaceDN w:val="0"/>
      <w:snapToGrid w:val="0"/>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B2D1D8">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t>—</w:t>
                          </w:r>
                          <w:r>
                            <w:rPr>
                              <w:rFonts w:hint="eastAsia" w:ascii="仿宋" w:hAnsi="仿宋" w:eastAsia="仿宋" w:cs="仿宋"/>
                              <w:sz w:val="32"/>
                              <w:szCs w:val="32"/>
                              <w:lang w:val="zh-CN" w:eastAsia="zh-CN" w:bidi="zh-CN"/>
                            </w:rPr>
                            <w:t xml:space="preserve"> </w:t>
                          </w:r>
                          <w:r>
                            <w:rPr>
                              <w:rFonts w:hint="eastAsia" w:ascii="仿宋" w:hAnsi="仿宋" w:eastAsia="仿宋" w:cs="仿宋"/>
                              <w:sz w:val="32"/>
                              <w:szCs w:val="32"/>
                              <w:lang w:val="zh-CN" w:eastAsia="zh-CN" w:bidi="zh-CN"/>
                            </w:rPr>
                            <w:fldChar w:fldCharType="begin"/>
                          </w:r>
                          <w:r>
                            <w:rPr>
                              <w:rFonts w:hint="eastAsia" w:ascii="仿宋" w:hAnsi="仿宋" w:eastAsia="仿宋" w:cs="仿宋"/>
                              <w:sz w:val="32"/>
                              <w:szCs w:val="32"/>
                              <w:lang w:val="zh-CN" w:eastAsia="zh-CN" w:bidi="zh-CN"/>
                            </w:rPr>
                            <w:instrText xml:space="preserve"> PAGE  \* MERGEFORMAT </w:instrText>
                          </w:r>
                          <w:r>
                            <w:rPr>
                              <w:rFonts w:hint="eastAsia" w:ascii="仿宋" w:hAnsi="仿宋" w:eastAsia="仿宋" w:cs="仿宋"/>
                              <w:sz w:val="32"/>
                              <w:szCs w:val="32"/>
                              <w:lang w:val="zh-CN" w:eastAsia="zh-CN" w:bidi="zh-CN"/>
                            </w:rPr>
                            <w:fldChar w:fldCharType="separate"/>
                          </w:r>
                          <w:r>
                            <w:rPr>
                              <w:rFonts w:hint="eastAsia" w:ascii="仿宋" w:hAnsi="仿宋" w:eastAsia="仿宋" w:cs="仿宋"/>
                              <w:sz w:val="32"/>
                              <w:szCs w:val="32"/>
                              <w:lang w:val="zh-CN" w:eastAsia="zh-CN" w:bidi="zh-CN"/>
                            </w:rPr>
                            <w:t>34</w:t>
                          </w:r>
                          <w:r>
                            <w:rPr>
                              <w:rFonts w:hint="eastAsia" w:ascii="仿宋" w:hAnsi="仿宋" w:eastAsia="仿宋" w:cs="仿宋"/>
                              <w:sz w:val="32"/>
                              <w:szCs w:val="32"/>
                              <w:lang w:val="zh-CN" w:eastAsia="zh-CN" w:bidi="zh-CN"/>
                            </w:rPr>
                            <w:fldChar w:fldCharType="end"/>
                          </w:r>
                          <w:r>
                            <w:rPr>
                              <w:rFonts w:hint="eastAsia" w:ascii="仿宋" w:hAnsi="仿宋" w:eastAsia="仿宋" w:cs="仿宋"/>
                              <w:sz w:val="32"/>
                              <w:szCs w:val="32"/>
                              <w:lang w:val="zh-CN" w:eastAsia="zh-CN" w:bidi="zh-CN"/>
                            </w:rPr>
                            <w:t xml:space="preserve"> </w:t>
                          </w:r>
                          <w:r>
                            <w:rPr>
                              <w:rFonts w:ascii="宋体" w:hAnsi="宋体" w:eastAsia="宋体" w:cs="宋体"/>
                              <w:sz w:val="18"/>
                              <w:szCs w:val="22"/>
                              <w:lang w:val="zh-CN" w:eastAsia="zh-CN" w:bidi="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AB2D1D8">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t>—</w:t>
                    </w:r>
                    <w:r>
                      <w:rPr>
                        <w:rFonts w:hint="eastAsia" w:ascii="仿宋" w:hAnsi="仿宋" w:eastAsia="仿宋" w:cs="仿宋"/>
                        <w:sz w:val="32"/>
                        <w:szCs w:val="32"/>
                        <w:lang w:val="zh-CN" w:eastAsia="zh-CN" w:bidi="zh-CN"/>
                      </w:rPr>
                      <w:t xml:space="preserve"> </w:t>
                    </w:r>
                    <w:r>
                      <w:rPr>
                        <w:rFonts w:hint="eastAsia" w:ascii="仿宋" w:hAnsi="仿宋" w:eastAsia="仿宋" w:cs="仿宋"/>
                        <w:sz w:val="32"/>
                        <w:szCs w:val="32"/>
                        <w:lang w:val="zh-CN" w:eastAsia="zh-CN" w:bidi="zh-CN"/>
                      </w:rPr>
                      <w:fldChar w:fldCharType="begin"/>
                    </w:r>
                    <w:r>
                      <w:rPr>
                        <w:rFonts w:hint="eastAsia" w:ascii="仿宋" w:hAnsi="仿宋" w:eastAsia="仿宋" w:cs="仿宋"/>
                        <w:sz w:val="32"/>
                        <w:szCs w:val="32"/>
                        <w:lang w:val="zh-CN" w:eastAsia="zh-CN" w:bidi="zh-CN"/>
                      </w:rPr>
                      <w:instrText xml:space="preserve"> PAGE  \* MERGEFORMAT </w:instrText>
                    </w:r>
                    <w:r>
                      <w:rPr>
                        <w:rFonts w:hint="eastAsia" w:ascii="仿宋" w:hAnsi="仿宋" w:eastAsia="仿宋" w:cs="仿宋"/>
                        <w:sz w:val="32"/>
                        <w:szCs w:val="32"/>
                        <w:lang w:val="zh-CN" w:eastAsia="zh-CN" w:bidi="zh-CN"/>
                      </w:rPr>
                      <w:fldChar w:fldCharType="separate"/>
                    </w:r>
                    <w:r>
                      <w:rPr>
                        <w:rFonts w:hint="eastAsia" w:ascii="仿宋" w:hAnsi="仿宋" w:eastAsia="仿宋" w:cs="仿宋"/>
                        <w:sz w:val="32"/>
                        <w:szCs w:val="32"/>
                        <w:lang w:val="zh-CN" w:eastAsia="zh-CN" w:bidi="zh-CN"/>
                      </w:rPr>
                      <w:t>34</w:t>
                    </w:r>
                    <w:r>
                      <w:rPr>
                        <w:rFonts w:hint="eastAsia" w:ascii="仿宋" w:hAnsi="仿宋" w:eastAsia="仿宋" w:cs="仿宋"/>
                        <w:sz w:val="32"/>
                        <w:szCs w:val="32"/>
                        <w:lang w:val="zh-CN" w:eastAsia="zh-CN" w:bidi="zh-CN"/>
                      </w:rPr>
                      <w:fldChar w:fldCharType="end"/>
                    </w:r>
                    <w:r>
                      <w:rPr>
                        <w:rFonts w:hint="eastAsia" w:ascii="仿宋" w:hAnsi="仿宋" w:eastAsia="仿宋" w:cs="仿宋"/>
                        <w:sz w:val="32"/>
                        <w:szCs w:val="32"/>
                        <w:lang w:val="zh-CN" w:eastAsia="zh-CN" w:bidi="zh-CN"/>
                      </w:rPr>
                      <w:t xml:space="preserve"> </w:t>
                    </w:r>
                    <w:r>
                      <w:rPr>
                        <w:rFonts w:ascii="宋体" w:hAnsi="宋体" w:eastAsia="宋体" w:cs="宋体"/>
                        <w:sz w:val="18"/>
                        <w:szCs w:val="22"/>
                        <w:lang w:val="zh-CN" w:eastAsia="zh-CN" w:bidi="zh-CN"/>
                      </w:rPr>
                      <w:t>—</w:t>
                    </w:r>
                  </w:p>
                </w:txbxContent>
              </v:textbox>
            </v:shape>
          </w:pict>
        </mc:Fallback>
      </mc:AlternateContent>
    </w:r>
  </w:p>
  <w:p w14:paraId="7F81FF12">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5E7A9D"/>
    <w:rsid w:val="00011A80"/>
    <w:rsid w:val="00055E89"/>
    <w:rsid w:val="00155382"/>
    <w:rsid w:val="0019172F"/>
    <w:rsid w:val="00223B10"/>
    <w:rsid w:val="005A433A"/>
    <w:rsid w:val="005E7A9D"/>
    <w:rsid w:val="006316D9"/>
    <w:rsid w:val="006E2E91"/>
    <w:rsid w:val="007E64E5"/>
    <w:rsid w:val="00863E80"/>
    <w:rsid w:val="009E2DD5"/>
    <w:rsid w:val="00A24FC2"/>
    <w:rsid w:val="00A61B35"/>
    <w:rsid w:val="00BC3660"/>
    <w:rsid w:val="00E57D60"/>
    <w:rsid w:val="00F42E29"/>
    <w:rsid w:val="01363832"/>
    <w:rsid w:val="01FA65AD"/>
    <w:rsid w:val="022B1B15"/>
    <w:rsid w:val="02A14397"/>
    <w:rsid w:val="04A6745F"/>
    <w:rsid w:val="05145BD8"/>
    <w:rsid w:val="057D647D"/>
    <w:rsid w:val="06045940"/>
    <w:rsid w:val="060C4B01"/>
    <w:rsid w:val="06C278B5"/>
    <w:rsid w:val="06C673A5"/>
    <w:rsid w:val="08396D12"/>
    <w:rsid w:val="08E9737B"/>
    <w:rsid w:val="08F972F8"/>
    <w:rsid w:val="0966767D"/>
    <w:rsid w:val="0990241E"/>
    <w:rsid w:val="09BB0D18"/>
    <w:rsid w:val="09CB2861"/>
    <w:rsid w:val="09ED69F7"/>
    <w:rsid w:val="0A1E3CA6"/>
    <w:rsid w:val="0A5941A8"/>
    <w:rsid w:val="0ABE77FD"/>
    <w:rsid w:val="0B246449"/>
    <w:rsid w:val="0B9271C5"/>
    <w:rsid w:val="0C29647F"/>
    <w:rsid w:val="0C825B1D"/>
    <w:rsid w:val="0C917B0E"/>
    <w:rsid w:val="0D095131"/>
    <w:rsid w:val="0D1A10C6"/>
    <w:rsid w:val="0D335069"/>
    <w:rsid w:val="0DE86477"/>
    <w:rsid w:val="0E7B4CEB"/>
    <w:rsid w:val="0F36499C"/>
    <w:rsid w:val="0F7014AD"/>
    <w:rsid w:val="0FB57FB7"/>
    <w:rsid w:val="103F6521"/>
    <w:rsid w:val="119C7740"/>
    <w:rsid w:val="12011292"/>
    <w:rsid w:val="12C624DB"/>
    <w:rsid w:val="130B0F9B"/>
    <w:rsid w:val="131D034D"/>
    <w:rsid w:val="135B70C7"/>
    <w:rsid w:val="14534846"/>
    <w:rsid w:val="14D13417"/>
    <w:rsid w:val="16A402D4"/>
    <w:rsid w:val="16FA48A0"/>
    <w:rsid w:val="177A2456"/>
    <w:rsid w:val="17A50911"/>
    <w:rsid w:val="18014FDA"/>
    <w:rsid w:val="19393A07"/>
    <w:rsid w:val="19516B9C"/>
    <w:rsid w:val="19540841"/>
    <w:rsid w:val="1968518A"/>
    <w:rsid w:val="19E43BCC"/>
    <w:rsid w:val="19FB5BB8"/>
    <w:rsid w:val="1AB53561"/>
    <w:rsid w:val="1AF04599"/>
    <w:rsid w:val="1AF37BE5"/>
    <w:rsid w:val="1B98266D"/>
    <w:rsid w:val="1CAB4C1C"/>
    <w:rsid w:val="1CFC47DC"/>
    <w:rsid w:val="1D0E19BE"/>
    <w:rsid w:val="1D42734F"/>
    <w:rsid w:val="1E530BE4"/>
    <w:rsid w:val="1E9E60BA"/>
    <w:rsid w:val="1F1D16D5"/>
    <w:rsid w:val="202777B8"/>
    <w:rsid w:val="21645399"/>
    <w:rsid w:val="21D20555"/>
    <w:rsid w:val="21DA565B"/>
    <w:rsid w:val="233C481F"/>
    <w:rsid w:val="24E16D01"/>
    <w:rsid w:val="2662436F"/>
    <w:rsid w:val="272555CB"/>
    <w:rsid w:val="273D2789"/>
    <w:rsid w:val="283A50A6"/>
    <w:rsid w:val="28470E5A"/>
    <w:rsid w:val="2A2328EB"/>
    <w:rsid w:val="2B34402E"/>
    <w:rsid w:val="2B836D64"/>
    <w:rsid w:val="2C414C55"/>
    <w:rsid w:val="2E410610"/>
    <w:rsid w:val="2E554EA6"/>
    <w:rsid w:val="2E6D24E6"/>
    <w:rsid w:val="2E6E5435"/>
    <w:rsid w:val="2EDC0C65"/>
    <w:rsid w:val="2F0D60FE"/>
    <w:rsid w:val="30FF50DE"/>
    <w:rsid w:val="331704BD"/>
    <w:rsid w:val="3354769F"/>
    <w:rsid w:val="342F7A89"/>
    <w:rsid w:val="34B47F8E"/>
    <w:rsid w:val="34D328FD"/>
    <w:rsid w:val="361E1B63"/>
    <w:rsid w:val="36402451"/>
    <w:rsid w:val="36F11025"/>
    <w:rsid w:val="376F6B85"/>
    <w:rsid w:val="379F4F25"/>
    <w:rsid w:val="37D4566A"/>
    <w:rsid w:val="38355DF5"/>
    <w:rsid w:val="39520DFD"/>
    <w:rsid w:val="3A242126"/>
    <w:rsid w:val="3A540249"/>
    <w:rsid w:val="3A643138"/>
    <w:rsid w:val="3A667F7C"/>
    <w:rsid w:val="3CF611CD"/>
    <w:rsid w:val="3D5E2E87"/>
    <w:rsid w:val="3D60427E"/>
    <w:rsid w:val="3D6469F5"/>
    <w:rsid w:val="3DA629D1"/>
    <w:rsid w:val="3E7E3BE9"/>
    <w:rsid w:val="3ECA2888"/>
    <w:rsid w:val="3F0A36A4"/>
    <w:rsid w:val="402648B4"/>
    <w:rsid w:val="410C7B15"/>
    <w:rsid w:val="41850941"/>
    <w:rsid w:val="41E06866"/>
    <w:rsid w:val="42220C2D"/>
    <w:rsid w:val="42283289"/>
    <w:rsid w:val="43064D56"/>
    <w:rsid w:val="43A0005B"/>
    <w:rsid w:val="43A52FF4"/>
    <w:rsid w:val="44501A81"/>
    <w:rsid w:val="452E48AC"/>
    <w:rsid w:val="458F65D9"/>
    <w:rsid w:val="466F1F67"/>
    <w:rsid w:val="46A57BDF"/>
    <w:rsid w:val="46B94B99"/>
    <w:rsid w:val="4846286F"/>
    <w:rsid w:val="48773A81"/>
    <w:rsid w:val="48BC0C73"/>
    <w:rsid w:val="493E6B30"/>
    <w:rsid w:val="49647D7D"/>
    <w:rsid w:val="4AA46F2C"/>
    <w:rsid w:val="4AF018C8"/>
    <w:rsid w:val="4BCD39B7"/>
    <w:rsid w:val="4C0E7169"/>
    <w:rsid w:val="4D1E4685"/>
    <w:rsid w:val="4D9F3131"/>
    <w:rsid w:val="4E351260"/>
    <w:rsid w:val="4E9E788D"/>
    <w:rsid w:val="4EF219BE"/>
    <w:rsid w:val="4F090CF9"/>
    <w:rsid w:val="501831C1"/>
    <w:rsid w:val="50416722"/>
    <w:rsid w:val="50A04C5E"/>
    <w:rsid w:val="50A54F03"/>
    <w:rsid w:val="511D3663"/>
    <w:rsid w:val="512613EE"/>
    <w:rsid w:val="51CC64BF"/>
    <w:rsid w:val="526C1834"/>
    <w:rsid w:val="5312315C"/>
    <w:rsid w:val="53287E7C"/>
    <w:rsid w:val="53781ECD"/>
    <w:rsid w:val="53E43F94"/>
    <w:rsid w:val="54A22327"/>
    <w:rsid w:val="55186100"/>
    <w:rsid w:val="55683ADA"/>
    <w:rsid w:val="55C74EFB"/>
    <w:rsid w:val="55F04E72"/>
    <w:rsid w:val="56226A03"/>
    <w:rsid w:val="56D55E16"/>
    <w:rsid w:val="5753747D"/>
    <w:rsid w:val="576756CE"/>
    <w:rsid w:val="583D5C31"/>
    <w:rsid w:val="59227272"/>
    <w:rsid w:val="59EF227E"/>
    <w:rsid w:val="5A1924BD"/>
    <w:rsid w:val="5AA7161B"/>
    <w:rsid w:val="5BBC6221"/>
    <w:rsid w:val="5BD448EE"/>
    <w:rsid w:val="5C303123"/>
    <w:rsid w:val="5C381321"/>
    <w:rsid w:val="5D6A375C"/>
    <w:rsid w:val="5D967D5E"/>
    <w:rsid w:val="5E410AA9"/>
    <w:rsid w:val="5E591F4F"/>
    <w:rsid w:val="5EEE09E1"/>
    <w:rsid w:val="5FC627A0"/>
    <w:rsid w:val="5FDA6B13"/>
    <w:rsid w:val="600E24AE"/>
    <w:rsid w:val="60CC5A1D"/>
    <w:rsid w:val="614442C4"/>
    <w:rsid w:val="61E635CD"/>
    <w:rsid w:val="63671F38"/>
    <w:rsid w:val="638E62D2"/>
    <w:rsid w:val="638E696C"/>
    <w:rsid w:val="64B17EC2"/>
    <w:rsid w:val="65D57BE0"/>
    <w:rsid w:val="66322EDB"/>
    <w:rsid w:val="66CD2666"/>
    <w:rsid w:val="678147AC"/>
    <w:rsid w:val="67876CB8"/>
    <w:rsid w:val="67DF3876"/>
    <w:rsid w:val="68656B14"/>
    <w:rsid w:val="68B7537B"/>
    <w:rsid w:val="69D301EE"/>
    <w:rsid w:val="6A0E6CF5"/>
    <w:rsid w:val="6B3B2294"/>
    <w:rsid w:val="6B94073F"/>
    <w:rsid w:val="6C9450B8"/>
    <w:rsid w:val="6D482759"/>
    <w:rsid w:val="70DD5364"/>
    <w:rsid w:val="72FB2045"/>
    <w:rsid w:val="74044D74"/>
    <w:rsid w:val="744672B5"/>
    <w:rsid w:val="744A1799"/>
    <w:rsid w:val="74582108"/>
    <w:rsid w:val="74942F02"/>
    <w:rsid w:val="74AE64EB"/>
    <w:rsid w:val="74E013D9"/>
    <w:rsid w:val="75E1542E"/>
    <w:rsid w:val="76674885"/>
    <w:rsid w:val="76957670"/>
    <w:rsid w:val="7722378E"/>
    <w:rsid w:val="77701517"/>
    <w:rsid w:val="77755895"/>
    <w:rsid w:val="779805BC"/>
    <w:rsid w:val="78423391"/>
    <w:rsid w:val="787F106A"/>
    <w:rsid w:val="798968C0"/>
    <w:rsid w:val="79A27982"/>
    <w:rsid w:val="79BF478B"/>
    <w:rsid w:val="7A9A6134"/>
    <w:rsid w:val="7A9B4AFD"/>
    <w:rsid w:val="7ACF29F8"/>
    <w:rsid w:val="7B70048C"/>
    <w:rsid w:val="7D2C7C8E"/>
    <w:rsid w:val="7D774E30"/>
    <w:rsid w:val="7DD74047"/>
    <w:rsid w:val="7F3E4E7B"/>
    <w:rsid w:val="7F6B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 Spacing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32"/>
      <w:szCs w:val="32"/>
      <w:lang w:val="en-US" w:eastAsia="zh-CN" w:bidi="ar"/>
    </w:rPr>
  </w:style>
  <w:style w:type="paragraph" w:styleId="3">
    <w:name w:val="annotation text"/>
    <w:basedOn w:val="1"/>
    <w:qFormat/>
    <w:uiPriority w:val="0"/>
    <w:pPr>
      <w:jc w:val="left"/>
    </w:pPr>
  </w:style>
  <w:style w:type="paragraph" w:styleId="4">
    <w:name w:val="Body Text"/>
    <w:basedOn w:val="1"/>
    <w:semiHidden/>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styleId="11">
    <w:name w:val="Hyperlink"/>
    <w:basedOn w:val="10"/>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rPr>
  </w:style>
  <w:style w:type="paragraph" w:customStyle="1" w:styleId="14">
    <w:name w:val="Table Paragraph"/>
    <w:basedOn w:val="1"/>
    <w:qFormat/>
    <w:uiPriority w:val="1"/>
    <w:pPr>
      <w:jc w:val="center"/>
    </w:pPr>
  </w:style>
  <w:style w:type="paragraph" w:customStyle="1" w:styleId="15">
    <w:name w:val="First Paragraph"/>
    <w:basedOn w:val="1"/>
    <w:next w:val="4"/>
    <w:qFormat/>
    <w:uiPriority w:val="0"/>
    <w:pPr>
      <w:spacing w:before="180"/>
      <w:ind w:firstLine="480" w:firstLineChars="200"/>
    </w:pPr>
    <w:rPr>
      <w:lang w:eastAsia="zh-CN"/>
    </w:rPr>
  </w:style>
  <w:style w:type="paragraph" w:customStyle="1" w:styleId="16">
    <w:name w:val="Compact"/>
    <w:basedOn w:val="4"/>
    <w:qFormat/>
    <w:uiPriority w:val="0"/>
    <w:pPr>
      <w:spacing w:before="60" w:after="60"/>
      <w:ind w:firstLine="0" w:firstLineChars="0"/>
    </w:pPr>
  </w:style>
  <w:style w:type="table" w:customStyle="1" w:styleId="17">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596902c0-f9c2-47e6-9f6d-838fed4e5c53</errorID>
      <errorWord>。</errorWord>
      <group>L1_Grammar</group>
      <groupName>语法问题</groupName>
      <ability>L2_Order</ability>
      <abilityName>语序不当</abilityName>
      <candidateList>
        <item>工作。</item>
      </candidateList>
      <explain>句子可能没有遵循时空、逻辑顺序，或者介词、关联词等位置不当。</explain>
      <paraID>70457F8B</paraID>
      <start>42</start>
      <end>43</end>
      <status>unmodified</status>
      <modifiedWord/>
      <trackRevisions>false</trackRevisions>
    </reviewItem>
    <reviewItem>
      <errorID>ad2590d0-154c-4f33-a037-c677e19ee4ff</errorID>
      <errorWord>县（市）区</errorWord>
      <group>L1_Punc</group>
      <groupName>标点问题</groupName>
      <ability>L2_Punc</ability>
      <abilityName>标点符号检查</abilityName>
      <candidateList>
        <item>县（市、区）</item>
      </candidateList>
      <explain/>
      <paraID>5A892852</paraID>
      <start>6</start>
      <end>11</end>
      <status>unmodified</status>
      <modifiedWord/>
      <trackRevisions>false</trackRevisions>
    </reviewItem>
    <reviewItem>
      <errorID>c4b3bc2b-679c-485b-ae6e-3495d2909cfe</errorID>
      <errorWord>县（市）区</errorWord>
      <group>L1_Political</group>
      <groupName>政治性问题</groupName>
      <ability>L2_Unpolitical</ability>
      <abilityName>政治敏感错误</abilityName>
      <candidateList>
        <item>县（市、区）</item>
      </candidateList>
      <explain/>
      <paraID>5A892852</paraID>
      <start>55</start>
      <end>60</end>
      <status>unmodified</status>
      <modifiedWord/>
      <trackRevisions>false</trackRevisions>
    </reviewItem>
    <reviewItem>
      <errorID>435498d4-17c3-46eb-918f-99153269086b</errorID>
      <errorWord>县（市）区</errorWord>
      <group>L1_Political</group>
      <groupName>政治性问题</groupName>
      <ability>L2_Unpolitical</ability>
      <abilityName>政治敏感错误</abilityName>
      <candidateList>
        <item>县（市、区）</item>
      </candidateList>
      <explain/>
      <paraID>1320D30F</paraID>
      <start>34</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c62ab-9ddd-479f-95a7-8f06ca3f77e6}">
  <ds:schemaRefs/>
</ds:datastoreItem>
</file>

<file path=docProps/app.xml><?xml version="1.0" encoding="utf-8"?>
<Properties xmlns="http://schemas.openxmlformats.org/officeDocument/2006/extended-properties" xmlns:vt="http://schemas.openxmlformats.org/officeDocument/2006/docPropsVTypes">
  <Template>Normal</Template>
  <Pages>48</Pages>
  <Words>16482</Words>
  <Characters>16705</Characters>
  <Lines>536</Lines>
  <Paragraphs>505</Paragraphs>
  <TotalTime>0</TotalTime>
  <ScaleCrop>false</ScaleCrop>
  <LinksUpToDate>false</LinksUpToDate>
  <CharactersWithSpaces>16861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2023-10-19T11:16:00Z</dcterms:created>
  <dc:creator>Microsoft</dc:creator>
  <cp:lastModifiedBy>A</cp:lastModifiedBy>
  <cp:lastPrinted>2025-10-09T01:38:00Z</cp:lastPrinted>
  <dcterms:modified xsi:type="dcterms:W3CDTF">2026-02-02T07:12:52Z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2025-09-16T16:14:10Z</vt:filetime>
  </property>
  <property fmtid="{D5CDD505-2E9C-101B-9397-08002B2CF9AE}" pid="4" name="KSOTemplateDocerSaveRecord">
    <vt:lpwstr>eyJoZGlkIjoiMGQ0ODlkZjk1YWVhMmM1YjE4NTliNDE5NmJiMTdmNGMiLCJ1c2VySWQiOiIyNTc2OTIxMzcifQ==</vt:lpwstr>
  </property>
  <property fmtid="{D5CDD505-2E9C-101B-9397-08002B2CF9AE}" pid="5" name="KSOProductBuildVer">
    <vt:lpwstr>2052-12.1.0.24657</vt:lpwstr>
  </property>
  <property fmtid="{D5CDD505-2E9C-101B-9397-08002B2CF9AE}" pid="6" name="ICV">
    <vt:lpwstr>0DFEAF3A8324491DAB2796702734F9CE_13</vt:lpwstr>
  </property>
</Properties>
</file>