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E72CC">
      <w:pPr>
        <w:pStyle w:val="5"/>
        <w:spacing w:line="254" w:lineRule="auto"/>
      </w:pPr>
    </w:p>
    <w:p w14:paraId="6A26E143">
      <w:pPr>
        <w:pStyle w:val="5"/>
        <w:spacing w:line="254" w:lineRule="auto"/>
      </w:pPr>
    </w:p>
    <w:p w14:paraId="709CA96B">
      <w:pPr>
        <w:pStyle w:val="5"/>
        <w:spacing w:line="254" w:lineRule="auto"/>
      </w:pPr>
    </w:p>
    <w:p w14:paraId="451C6528">
      <w:pPr>
        <w:pStyle w:val="5"/>
        <w:spacing w:line="254" w:lineRule="auto"/>
      </w:pPr>
    </w:p>
    <w:p w14:paraId="6D618FF6">
      <w:pPr>
        <w:pStyle w:val="5"/>
        <w:spacing w:line="255" w:lineRule="auto"/>
      </w:pPr>
    </w:p>
    <w:p w14:paraId="52DCC7CD">
      <w:pPr>
        <w:pStyle w:val="5"/>
        <w:spacing w:line="255" w:lineRule="auto"/>
      </w:pPr>
    </w:p>
    <w:p w14:paraId="7AE9F1FD">
      <w:pPr>
        <w:pStyle w:val="5"/>
        <w:spacing w:line="255" w:lineRule="auto"/>
      </w:pPr>
    </w:p>
    <w:p w14:paraId="7BF57409">
      <w:pPr>
        <w:pStyle w:val="5"/>
        <w:spacing w:line="255" w:lineRule="auto"/>
      </w:pPr>
    </w:p>
    <w:p w14:paraId="12718AAA">
      <w:pPr>
        <w:pStyle w:val="5"/>
        <w:spacing w:line="255" w:lineRule="auto"/>
      </w:pPr>
    </w:p>
    <w:p w14:paraId="28E145F2">
      <w:pPr>
        <w:pStyle w:val="5"/>
        <w:spacing w:line="255" w:lineRule="auto"/>
      </w:pPr>
    </w:p>
    <w:p w14:paraId="65451281">
      <w:pPr>
        <w:pStyle w:val="5"/>
        <w:spacing w:line="255" w:lineRule="auto"/>
      </w:pPr>
    </w:p>
    <w:p w14:paraId="25E3C48B">
      <w:pPr>
        <w:pStyle w:val="5"/>
        <w:spacing w:line="255" w:lineRule="auto"/>
      </w:pPr>
    </w:p>
    <w:p w14:paraId="2DF7CEA1">
      <w:pPr>
        <w:pStyle w:val="5"/>
        <w:spacing w:line="255" w:lineRule="auto"/>
      </w:pPr>
    </w:p>
    <w:p w14:paraId="16BED0EE">
      <w:pPr>
        <w:pStyle w:val="5"/>
        <w:spacing w:line="255" w:lineRule="auto"/>
      </w:pPr>
    </w:p>
    <w:p w14:paraId="3161F727">
      <w:pPr>
        <w:pStyle w:val="5"/>
        <w:spacing w:line="255" w:lineRule="auto"/>
      </w:pPr>
    </w:p>
    <w:p w14:paraId="165371F5">
      <w:pPr>
        <w:pStyle w:val="5"/>
        <w:spacing w:line="255" w:lineRule="auto"/>
      </w:pPr>
    </w:p>
    <w:p w14:paraId="1A476EDE">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t>佳木斯市向阳区</w:t>
      </w:r>
    </w:p>
    <w:p w14:paraId="4174EA3A">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Theme="majorEastAsia" w:hAnsiTheme="majorEastAsia" w:eastAsiaTheme="majorEastAsia" w:cstheme="majorEastAsia"/>
          <w:b w:val="0"/>
          <w:bCs w:val="0"/>
          <w:snapToGrid/>
          <w:kern w:val="2"/>
          <w:sz w:val="72"/>
          <w:szCs w:val="72"/>
          <w:lang w:eastAsia="zh-CN"/>
        </w:r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t>食品安全事故应急预案</w:t>
      </w:r>
    </w:p>
    <w:p w14:paraId="3D4A9A06">
      <w:pPr>
        <w:spacing w:before="317" w:line="221" w:lineRule="auto"/>
        <w:ind w:left="1817"/>
        <w:jc w:val="center"/>
        <w:rPr>
          <w:rFonts w:hint="eastAsia" w:ascii="宋体" w:hAnsi="宋体" w:eastAsia="宋体"/>
          <w:lang w:eastAsia="zh-CN"/>
        </w:rPr>
        <w:sectPr>
          <w:pgSz w:w="11906" w:h="16839"/>
          <w:pgMar w:top="1431" w:right="1485" w:bottom="1355" w:left="1599" w:header="0" w:footer="1117" w:gutter="0"/>
          <w:pgNumType w:fmt="decimal" w:start="1"/>
          <w:cols w:space="720" w:num="1"/>
        </w:sectPr>
      </w:pPr>
    </w:p>
    <w:sdt>
      <w:sdtPr>
        <w:rPr>
          <w:rFonts w:ascii="宋体" w:hAnsi="宋体" w:eastAsia="宋体"/>
        </w:rPr>
        <w:id w:val="147463685"/>
        <w15:color w:val="DBDBDB"/>
        <w:docPartObj>
          <w:docPartGallery w:val="Table of Contents"/>
          <w:docPartUnique/>
        </w:docPartObj>
      </w:sdtPr>
      <w:sdtEndPr>
        <w:rPr>
          <w:rFonts w:ascii="宋体" w:hAnsi="宋体" w:eastAsia="宋体" w:cs="宋体"/>
          <w:bCs/>
          <w:spacing w:val="3"/>
          <w:szCs w:val="31"/>
        </w:rPr>
      </w:sdtEndPr>
      <w:sdtContent>
        <w:p w14:paraId="7203A1A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宋体" w:hAnsi="宋体" w:eastAsia="宋体" w:cs="宋体"/>
              <w:sz w:val="32"/>
              <w:szCs w:val="32"/>
              <w:lang w:eastAsia="zh-CN"/>
            </w:rPr>
          </w:pPr>
          <w:bookmarkStart w:id="0" w:name="bookmark1"/>
          <w:bookmarkEnd w:id="0"/>
          <w:bookmarkStart w:id="1" w:name="bookmark2"/>
          <w:bookmarkEnd w:id="1"/>
          <w:r>
            <w:rPr>
              <w:rFonts w:hint="eastAsia" w:ascii="宋体" w:hAnsi="宋体" w:eastAsia="宋体" w:cs="宋体"/>
              <w:snapToGrid w:val="0"/>
              <w:color w:val="000000"/>
              <w:kern w:val="0"/>
              <w:sz w:val="32"/>
              <w:szCs w:val="32"/>
              <w:lang w:eastAsia="zh-CN"/>
            </w:rPr>
            <w:t>目录</w:t>
          </w:r>
        </w:p>
        <w:p w14:paraId="6E362047">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TOC \o "1-2" \h \u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_Toc3699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_Toc3699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0E97C7E0">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_Toc29007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bCs w:val="0"/>
              <w:spacing w:val="0"/>
              <w:sz w:val="32"/>
              <w:szCs w:val="32"/>
              <w:lang w:eastAsia="zh-CN"/>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_Toc29007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2BE93D60">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_Toc12661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bCs w:val="0"/>
              <w:spacing w:val="0"/>
              <w:sz w:val="32"/>
              <w:szCs w:val="32"/>
              <w:lang w:eastAsia="zh-CN"/>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_Toc12661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4CB9C892">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_Toc28612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bCs w:val="0"/>
              <w:spacing w:val="0"/>
              <w:sz w:val="32"/>
              <w:szCs w:val="32"/>
              <w:lang w:eastAsia="zh-CN"/>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_Toc28612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5A435B70">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_Toc19901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bCs w:val="0"/>
              <w:spacing w:val="0"/>
              <w:sz w:val="32"/>
              <w:szCs w:val="32"/>
              <w:lang w:eastAsia="zh-CN"/>
            </w:rPr>
            <w:t>（四）工作原则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_Toc19901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6EA57CFB">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_Toc27027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二、事故分级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_Toc27027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083CB4AF">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_Toc13186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三、应急组织指挥体系与职责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_Toc13186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10852930">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_Toc340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（一）领导机构与职责</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_Toc340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4</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972F22B">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_Toc18735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（二）成员单位职责</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_Toc18735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6</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949F12F">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_Toc281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（三）应急工作机构及职责</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_Toc281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7</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4EB99F2B">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_Toc156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（四）街道办事处应急指挥机构</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_Toc156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9</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3D4A535D">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_Toc19258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（五）专家组</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_Toc19258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9</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BD07BC5">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_Toc4892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四、风险管控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_Toc4892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34260CEB">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_Toc31413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（一）风险识别与评估</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_Toc31413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10</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46FE1C94">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_Toc8923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（二）风险控制与治理</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_Toc8923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10</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40696679">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_Toc30596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（三）监控与更新</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_Toc30596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11</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7E614BF5">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_Toc5226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五、监测、预警与报告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_Toc5226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0EC90352">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_Toc9866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（一）监测与预警</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_Toc9866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12</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173750D3">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_Toc18791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（二）信息报告</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_Toc18791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12</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E218EB0">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_Toc23050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六、应急处置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_Toc23050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39B16379">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_Toc28064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（一）事故评估</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_Toc28064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14</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58BF6CA4">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_Toc3788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（二）先期处置</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_Toc3788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15</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79414250">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_Toc21037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（三）应急响应原则</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_Toc21037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16</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17A88125">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_Toc9041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（四）处置措施</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_Toc9041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16</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39F4C418">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_Toc28225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（五）响应级别调整</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_Toc28225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17</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653BF875">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_Toc25034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（六）信息发布</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_Toc25034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18</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60B40F00">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_Toc7126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七、后期处置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_Toc7126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70CB6D13">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_Toc15023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（一）善后处理</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_Toc15023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18</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37B19517">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_Toc5721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（二）总结评估</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_Toc5721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19</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29872DA">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_Toc15659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（三）奖惩</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_Toc15659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19</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5B315F00">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_Toc13305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八</w:t>
          </w:r>
          <w:r>
            <w:rPr>
              <w:rFonts w:hint="eastAsia" w:ascii="仿宋" w:hAnsi="仿宋" w:eastAsia="仿宋" w:cs="仿宋"/>
              <w:spacing w:val="0"/>
              <w:sz w:val="32"/>
              <w:szCs w:val="32"/>
            </w:rPr>
            <w:t>、保障措施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_Toc13305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146217D1">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_Toc944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（一）信息保障</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_Toc944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19</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363FBC18">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_Toc22101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（二）医疗保障</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_Toc22101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19</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41AC5C8">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_Toc15991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（三）人员保障</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_Toc15991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20</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512E4952">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_Toc13711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（四）技术保障</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_Toc13711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20</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73A6C6EB">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_Toc4793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（五）物资和经费保障</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_Toc4793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20</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6F53666B">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_Toc279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（六）社会动员保障</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_Toc279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20</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7BEAFB36">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_Toc31962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九、监督管理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_Toc31962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1CB31772">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_Toc27560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（一）预案编制</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_Toc27560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20</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4793F319">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_Toc5355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（二）预案演练</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_Toc5355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21</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F0A4A87">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_Toc9290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（三）宣传教育培训</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_Toc9290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21</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3734DA5E">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_Toc20517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（四）预案更新</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_Toc20517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21</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2A8C7944">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_Toc3165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zh-CN"/>
            </w:rPr>
            <w:t>（五）预案起始时间</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_Toc3165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22</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789F22D5">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_Toc28490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十、名词术语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_Toc28490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6DE5C8D2">
          <w:pPr>
            <w:pStyle w:val="8"/>
            <w:tabs>
              <w:tab w:val="right" w:leader="dot" w:pos="8822"/>
            </w:tabs>
            <w:rPr>
              <w:rFonts w:hint="eastAsia" w:ascii="仿宋" w:hAnsi="仿宋" w:eastAsia="仿宋" w:cs="仿宋"/>
              <w:sz w:val="32"/>
              <w:szCs w:val="32"/>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kern w:val="0"/>
              <w:sz w:val="32"/>
              <w:szCs w:val="32"/>
              <w:lang w:eastAsia="en-US"/>
            </w:rPr>
            <w:instrText xml:space="preserve"> HYPERLINK \l _Toc15091 </w:instrText>
          </w:r>
          <w:r>
            <w:rPr>
              <w:rFonts w:hint="eastAsia" w:ascii="仿宋" w:hAnsi="仿宋" w:eastAsia="仿宋" w:cs="仿宋"/>
              <w:snapToGrid w:val="0"/>
              <w:kern w:val="0"/>
              <w:sz w:val="32"/>
              <w:szCs w:val="32"/>
              <w:lang w:eastAsia="en-US"/>
            </w:rPr>
            <w:fldChar w:fldCharType="separate"/>
          </w:r>
          <w:r>
            <w:rPr>
              <w:rFonts w:hint="eastAsia" w:ascii="仿宋" w:hAnsi="仿宋" w:eastAsia="仿宋" w:cs="仿宋"/>
              <w:spacing w:val="0"/>
              <w:sz w:val="32"/>
              <w:szCs w:val="32"/>
              <w:lang w:eastAsia="zh-CN"/>
            </w:rPr>
            <w:t>十一、附件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_Toc15091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napToGrid w:val="0"/>
              <w:color w:val="000000"/>
              <w:kern w:val="0"/>
              <w:sz w:val="32"/>
              <w:szCs w:val="32"/>
              <w:lang w:eastAsia="en-US"/>
            </w:rPr>
            <w:fldChar w:fldCharType="end"/>
          </w:r>
        </w:p>
        <w:p w14:paraId="4A3ECA18">
          <w:pPr>
            <w:pStyle w:val="9"/>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_Toc2326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val="en-US" w:eastAsia="zh-CN"/>
            </w:rPr>
            <w:t>附件 风险分级管控及评价方法</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_Toc2326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23</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519D9795">
          <w:pPr>
            <w:pStyle w:val="8"/>
            <w:widowControl/>
            <w:tabs>
              <w:tab w:val="right" w:leader="dot" w:pos="8721"/>
            </w:tabs>
            <w:kinsoku w:val="0"/>
            <w:autoSpaceDE w:val="0"/>
            <w:autoSpaceDN w:val="0"/>
            <w:adjustRightInd w:val="0"/>
            <w:snapToGrid w:val="0"/>
            <w:jc w:val="left"/>
            <w:textAlignment w:val="baseline"/>
            <w:rPr>
              <w:rFonts w:hint="eastAsia" w:ascii="宋体" w:hAnsi="宋体" w:eastAsia="宋体" w:cs="宋体"/>
              <w:bCs/>
              <w:spacing w:val="3"/>
              <w:szCs w:val="31"/>
            </w:rPr>
          </w:pPr>
          <w:r>
            <w:rPr>
              <w:rFonts w:hint="eastAsia" w:ascii="仿宋" w:hAnsi="仿宋" w:eastAsia="仿宋" w:cs="仿宋"/>
              <w:snapToGrid w:val="0"/>
              <w:color w:val="000000"/>
              <w:kern w:val="0"/>
              <w:sz w:val="32"/>
              <w:szCs w:val="32"/>
              <w:lang w:eastAsia="en-US"/>
            </w:rPr>
            <w:fldChar w:fldCharType="end"/>
          </w:r>
        </w:p>
      </w:sdtContent>
    </w:sdt>
    <w:p w14:paraId="25CD0FCA">
      <w:pPr>
        <w:spacing w:before="101" w:line="540" w:lineRule="exact"/>
        <w:jc w:val="both"/>
        <w:outlineLvl w:val="0"/>
        <w:rPr>
          <w:rFonts w:hint="eastAsia" w:ascii="宋体" w:hAnsi="宋体" w:eastAsia="宋体" w:cs="宋体"/>
          <w:bCs/>
          <w:spacing w:val="3"/>
          <w:szCs w:val="31"/>
        </w:rPr>
      </w:pPr>
    </w:p>
    <w:p w14:paraId="46E38F00">
      <w:pPr>
        <w:spacing w:line="560" w:lineRule="exact"/>
        <w:ind w:firstLine="652" w:firstLineChars="200"/>
        <w:jc w:val="both"/>
        <w:outlineLvl w:val="0"/>
        <w:rPr>
          <w:rFonts w:hint="eastAsia" w:ascii="黑体" w:hAnsi="黑体" w:eastAsia="黑体" w:cs="黑体"/>
          <w:spacing w:val="3"/>
          <w:sz w:val="32"/>
          <w:szCs w:val="32"/>
          <w:lang w:eastAsia="zh-CN"/>
        </w:rPr>
        <w:sectPr>
          <w:footerReference r:id="rId3" w:type="default"/>
          <w:pgSz w:w="11906" w:h="16839"/>
          <w:pgMar w:top="1431" w:right="1485" w:bottom="1355" w:left="1599" w:header="0" w:footer="1117" w:gutter="0"/>
          <w:pgNumType w:fmt="decimal" w:start="1"/>
          <w:cols w:space="720" w:num="1"/>
        </w:sectPr>
      </w:pPr>
    </w:p>
    <w:p w14:paraId="22F1CBF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spacing w:val="0"/>
          <w:sz w:val="32"/>
          <w:szCs w:val="32"/>
          <w:lang w:eastAsia="zh-CN"/>
        </w:rPr>
      </w:pPr>
      <w:bookmarkStart w:id="2" w:name="_Toc3699"/>
      <w:r>
        <w:rPr>
          <w:rFonts w:hint="default" w:ascii="Times New Roman" w:hAnsi="Times New Roman" w:eastAsia="黑体" w:cs="Times New Roman"/>
          <w:spacing w:val="0"/>
          <w:sz w:val="32"/>
          <w:szCs w:val="32"/>
          <w:lang w:eastAsia="zh-CN"/>
        </w:rPr>
        <w:t>一、总则</w:t>
      </w:r>
      <w:bookmarkEnd w:id="2"/>
    </w:p>
    <w:p w14:paraId="3129A75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3" w:name="bookmark42"/>
      <w:bookmarkEnd w:id="3"/>
      <w:bookmarkStart w:id="4" w:name="_Toc29007"/>
      <w:r>
        <w:rPr>
          <w:rFonts w:hint="default" w:ascii="Times New Roman" w:hAnsi="Times New Roman" w:eastAsia="楷体" w:cs="Times New Roman"/>
          <w:b w:val="0"/>
          <w:bCs w:val="0"/>
          <w:spacing w:val="0"/>
          <w:sz w:val="32"/>
          <w:szCs w:val="32"/>
          <w:lang w:eastAsia="zh-CN"/>
        </w:rPr>
        <w:t>（一）编制目的</w:t>
      </w:r>
      <w:bookmarkEnd w:id="4"/>
    </w:p>
    <w:p w14:paraId="260525F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建立健全向阳区应对突发食品安全事故的救助体系和运行机制，规范和指导应急处理工作，及时有效地做好突发食品安全事故的应急救援工作，最大限度地减少食品安全事故危害，保障人民群众身体健康和生命安全。</w:t>
      </w:r>
    </w:p>
    <w:p w14:paraId="2E8F715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5" w:name="bookmark3"/>
      <w:bookmarkEnd w:id="5"/>
      <w:bookmarkStart w:id="6" w:name="_Toc12661"/>
      <w:r>
        <w:rPr>
          <w:rFonts w:hint="default" w:ascii="Times New Roman" w:hAnsi="Times New Roman" w:eastAsia="楷体" w:cs="Times New Roman"/>
          <w:b w:val="0"/>
          <w:bCs w:val="0"/>
          <w:spacing w:val="0"/>
          <w:sz w:val="32"/>
          <w:szCs w:val="32"/>
          <w:lang w:eastAsia="zh-CN"/>
        </w:rPr>
        <w:t>（二）编制依据</w:t>
      </w:r>
      <w:bookmarkEnd w:id="6"/>
    </w:p>
    <w:p w14:paraId="4FFCF2C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1.《中华人民共和国突发事件应对法》（主席令第25号）</w:t>
      </w:r>
    </w:p>
    <w:p w14:paraId="35FB592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2.《中华人民共和国食品安全法》（主席令第21号）</w:t>
      </w:r>
    </w:p>
    <w:p w14:paraId="0698B76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3.《中华人民共和国农产品质量安全法》（主席令第120号）</w:t>
      </w:r>
    </w:p>
    <w:p w14:paraId="2BC038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4.《中华人民共和国食品安全法实施条例》（国务院令第721号）</w:t>
      </w:r>
    </w:p>
    <w:p w14:paraId="08563A1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spacing w:val="0"/>
          <w:sz w:val="32"/>
          <w:szCs w:val="32"/>
          <w:lang w:eastAsia="zh-CN"/>
        </w:rPr>
        <w:t>5.《黑龙江省食品安全条例》（黑龙江省第十三届人大常委</w:t>
      </w:r>
      <w:r>
        <w:rPr>
          <w:rFonts w:hint="default" w:ascii="仿宋" w:hAnsi="仿宋" w:eastAsia="仿宋" w:cs="仿宋"/>
          <w:color w:val="auto"/>
          <w:spacing w:val="0"/>
          <w:sz w:val="32"/>
          <w:szCs w:val="32"/>
          <w:lang w:eastAsia="zh-CN"/>
        </w:rPr>
        <w:t>会公告第3号）</w:t>
      </w:r>
    </w:p>
    <w:p w14:paraId="6EFE6BF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highlight w:val="none"/>
          <w:lang w:eastAsia="zh-CN"/>
        </w:rPr>
      </w:pPr>
      <w:r>
        <w:rPr>
          <w:rFonts w:hint="default" w:ascii="仿宋" w:hAnsi="仿宋" w:eastAsia="仿宋" w:cs="仿宋"/>
          <w:color w:val="auto"/>
          <w:spacing w:val="0"/>
          <w:sz w:val="32"/>
          <w:szCs w:val="32"/>
          <w:highlight w:val="none"/>
          <w:lang w:eastAsia="zh-CN"/>
        </w:rPr>
        <w:t>6.《黑龙江省人民政府办公厅关于印发</w:t>
      </w:r>
      <w:r>
        <w:rPr>
          <w:rFonts w:hint="eastAsia" w:ascii="仿宋" w:hAnsi="仿宋" w:eastAsia="仿宋" w:cs="仿宋"/>
          <w:color w:val="auto"/>
          <w:spacing w:val="0"/>
          <w:sz w:val="32"/>
          <w:szCs w:val="32"/>
          <w:highlight w:val="none"/>
          <w:lang w:eastAsia="zh-CN"/>
        </w:rPr>
        <w:t>〈</w:t>
      </w:r>
      <w:r>
        <w:rPr>
          <w:rFonts w:hint="default" w:ascii="仿宋" w:hAnsi="仿宋" w:eastAsia="仿宋" w:cs="仿宋"/>
          <w:color w:val="auto"/>
          <w:spacing w:val="0"/>
          <w:sz w:val="32"/>
          <w:szCs w:val="32"/>
          <w:highlight w:val="none"/>
          <w:lang w:eastAsia="zh-CN"/>
        </w:rPr>
        <w:t>黑龙江省食品安全事故应急预案</w:t>
      </w:r>
      <w:r>
        <w:rPr>
          <w:rFonts w:hint="eastAsia" w:ascii="仿宋" w:hAnsi="仿宋" w:eastAsia="仿宋" w:cs="仿宋"/>
          <w:color w:val="auto"/>
          <w:spacing w:val="0"/>
          <w:sz w:val="32"/>
          <w:szCs w:val="32"/>
          <w:highlight w:val="none"/>
          <w:lang w:eastAsia="zh-CN"/>
        </w:rPr>
        <w:t>〉</w:t>
      </w:r>
      <w:r>
        <w:rPr>
          <w:rFonts w:hint="default" w:ascii="仿宋" w:hAnsi="仿宋" w:eastAsia="仿宋" w:cs="仿宋"/>
          <w:color w:val="auto"/>
          <w:spacing w:val="0"/>
          <w:sz w:val="32"/>
          <w:szCs w:val="32"/>
          <w:highlight w:val="none"/>
          <w:lang w:eastAsia="zh-CN"/>
        </w:rPr>
        <w:t>的通知》（黑政办规〔2020〕19号）</w:t>
      </w:r>
    </w:p>
    <w:p w14:paraId="318037F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7.《佳木斯市食品安全事故应急预案》</w:t>
      </w:r>
    </w:p>
    <w:p w14:paraId="1EEF23B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仿宋" w:hAnsi="仿宋" w:eastAsia="仿宋" w:cs="仿宋"/>
          <w:spacing w:val="0"/>
          <w:sz w:val="32"/>
          <w:szCs w:val="32"/>
          <w:lang w:eastAsia="zh-CN"/>
        </w:rPr>
        <w:t>8.《佳木斯市向阳区突发事件总体应急预案》</w:t>
      </w:r>
    </w:p>
    <w:p w14:paraId="573922E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7" w:name="bookmark4"/>
      <w:bookmarkEnd w:id="7"/>
      <w:bookmarkStart w:id="8" w:name="_Toc28612"/>
      <w:r>
        <w:rPr>
          <w:rFonts w:hint="default" w:ascii="Times New Roman" w:hAnsi="Times New Roman" w:eastAsia="楷体" w:cs="Times New Roman"/>
          <w:b w:val="0"/>
          <w:bCs w:val="0"/>
          <w:spacing w:val="0"/>
          <w:sz w:val="32"/>
          <w:szCs w:val="32"/>
          <w:lang w:eastAsia="zh-CN"/>
        </w:rPr>
        <w:t>（三）适用范围</w:t>
      </w:r>
      <w:bookmarkEnd w:id="8"/>
    </w:p>
    <w:p w14:paraId="45FCDD7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本预案适用于发生在向阳区行政区域内的一般食品安全事故（Ⅳ级应急响应）应对工作。对食源性疾病中涉及传染病疫情、食源性寄生虫病的公共卫生事件，按照《中华人民共和国传染病防治法》《黑龙江省突发公共卫生事件应急预案》《佳木斯市向阳区突发事件总体应急预案》等相关规定，由卫生健康部门组织开展疫情防控和应急处置。</w:t>
      </w:r>
    </w:p>
    <w:p w14:paraId="10C83CF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9" w:name="bookmark5"/>
      <w:bookmarkEnd w:id="9"/>
      <w:bookmarkStart w:id="10" w:name="_Toc19901"/>
      <w:r>
        <w:rPr>
          <w:rFonts w:hint="default" w:ascii="Times New Roman" w:hAnsi="Times New Roman" w:eastAsia="楷体" w:cs="Times New Roman"/>
          <w:b w:val="0"/>
          <w:bCs w:val="0"/>
          <w:spacing w:val="0"/>
          <w:sz w:val="32"/>
          <w:szCs w:val="32"/>
          <w:lang w:eastAsia="zh-CN"/>
        </w:rPr>
        <w:t>（四）工作原则</w:t>
      </w:r>
      <w:bookmarkEnd w:id="10"/>
    </w:p>
    <w:p w14:paraId="6CD7FF2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按照“全区统一领导，分级负责，部门指导协调，各方联合行动”的方针，做到以下原则：</w:t>
      </w:r>
    </w:p>
    <w:p w14:paraId="3563C40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1.以人为本，减少危害。</w:t>
      </w:r>
      <w:r>
        <w:rPr>
          <w:rFonts w:hint="default" w:ascii="仿宋" w:hAnsi="仿宋" w:eastAsia="仿宋" w:cs="仿宋"/>
          <w:spacing w:val="0"/>
          <w:sz w:val="32"/>
          <w:szCs w:val="32"/>
          <w:lang w:eastAsia="zh-CN"/>
        </w:rPr>
        <w:t>把保障公众健康和生命安全作为食品安全事故应急处置的首要任务，最大限度地减少事故造成的人员伤亡和健康损害。</w:t>
      </w:r>
    </w:p>
    <w:p w14:paraId="4F63D9A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2.统一领导，分级负责。</w:t>
      </w:r>
      <w:r>
        <w:rPr>
          <w:rFonts w:hint="default" w:ascii="仿宋" w:hAnsi="仿宋" w:eastAsia="仿宋" w:cs="仿宋"/>
          <w:spacing w:val="0"/>
          <w:sz w:val="32"/>
          <w:szCs w:val="32"/>
          <w:lang w:eastAsia="zh-CN"/>
        </w:rPr>
        <w:t>在区政府统一领导下，区政府各有关部门按照分工密切合作、协同应对。各部门根据各自职责，按照分级响应、完善工作机制</w:t>
      </w:r>
      <w:r>
        <w:rPr>
          <w:rFonts w:hint="eastAsia" w:ascii="仿宋" w:hAnsi="仿宋" w:eastAsia="仿宋" w:cs="仿宋"/>
          <w:spacing w:val="0"/>
          <w:sz w:val="32"/>
          <w:szCs w:val="32"/>
          <w:lang w:eastAsia="zh-CN"/>
        </w:rPr>
        <w:t>的要求，</w:t>
      </w:r>
      <w:r>
        <w:rPr>
          <w:rFonts w:hint="default" w:ascii="仿宋" w:hAnsi="仿宋" w:eastAsia="仿宋" w:cs="仿宋"/>
          <w:spacing w:val="0"/>
          <w:sz w:val="32"/>
          <w:szCs w:val="32"/>
          <w:lang w:eastAsia="zh-CN"/>
        </w:rPr>
        <w:t>落实工作责任。</w:t>
      </w:r>
    </w:p>
    <w:p w14:paraId="44A1630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3.科学评估，依法处置。</w:t>
      </w:r>
      <w:r>
        <w:rPr>
          <w:rFonts w:hint="default" w:ascii="仿宋" w:hAnsi="仿宋" w:eastAsia="仿宋" w:cs="仿宋"/>
          <w:spacing w:val="0"/>
          <w:sz w:val="32"/>
          <w:szCs w:val="32"/>
          <w:lang w:eastAsia="zh-CN"/>
        </w:rPr>
        <w:t>有效利用食品安全风险监测、评估和预警等科学手段，充分发挥专业应急队伍的作用；依据相关法律法规，科学有效应对食品安全事故。</w:t>
      </w:r>
    </w:p>
    <w:p w14:paraId="7E603C4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4.居安思危，预防为主。</w:t>
      </w:r>
      <w:r>
        <w:rPr>
          <w:rFonts w:hint="default" w:ascii="仿宋" w:hAnsi="仿宋" w:eastAsia="仿宋" w:cs="仿宋"/>
          <w:spacing w:val="0"/>
          <w:sz w:val="32"/>
          <w:szCs w:val="32"/>
          <w:lang w:eastAsia="zh-CN"/>
        </w:rPr>
        <w:t>坚持预防与应急相结合，做好应急准备；健全食品安全日常管理制度，加强食品安全风险管理；加强宣教培训，提高公众自我防范和应对食品安全事故的意识和能力。</w:t>
      </w:r>
    </w:p>
    <w:p w14:paraId="4CF5A05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spacing w:val="0"/>
          <w:sz w:val="32"/>
          <w:szCs w:val="32"/>
          <w:lang w:eastAsia="zh-CN"/>
        </w:rPr>
      </w:pPr>
      <w:bookmarkStart w:id="11" w:name="bookmark6"/>
      <w:bookmarkEnd w:id="11"/>
      <w:bookmarkStart w:id="12" w:name="_Toc27027"/>
      <w:r>
        <w:rPr>
          <w:rFonts w:hint="default" w:ascii="Times New Roman" w:hAnsi="Times New Roman" w:eastAsia="黑体" w:cs="Times New Roman"/>
          <w:spacing w:val="0"/>
          <w:sz w:val="32"/>
          <w:szCs w:val="32"/>
          <w:lang w:eastAsia="zh-CN"/>
        </w:rPr>
        <w:t>二、事故分级</w:t>
      </w:r>
      <w:bookmarkEnd w:id="12"/>
    </w:p>
    <w:p w14:paraId="061467E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按食品事故的性质、危害程度和涉及范围，将食品安全事故分为四级：</w:t>
      </w:r>
    </w:p>
    <w:p w14:paraId="57E28A9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1.特别重大食品安全事故（Ⅰ级）</w:t>
      </w:r>
    </w:p>
    <w:p w14:paraId="28EAB65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符合下列情形之一的，为特别重大食品安全事故（</w:t>
      </w:r>
      <w:r>
        <w:rPr>
          <w:rFonts w:hint="eastAsia" w:ascii="仿宋" w:hAnsi="仿宋" w:eastAsia="仿宋" w:cs="仿宋"/>
          <w:spacing w:val="0"/>
          <w:sz w:val="32"/>
          <w:szCs w:val="32"/>
          <w:lang w:eastAsia="zh-CN"/>
        </w:rPr>
        <w:t>Ⅰ</w:t>
      </w:r>
      <w:r>
        <w:rPr>
          <w:rFonts w:hint="default" w:ascii="仿宋" w:hAnsi="仿宋" w:eastAsia="仿宋" w:cs="仿宋"/>
          <w:spacing w:val="0"/>
          <w:sz w:val="32"/>
          <w:szCs w:val="32"/>
          <w:lang w:eastAsia="zh-CN"/>
        </w:rPr>
        <w:t>级），启动Ⅰ级响应：</w:t>
      </w:r>
    </w:p>
    <w:p w14:paraId="4F62F7E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（1）受污染食品流入2个以上省份或国（境）外（含港澳台）造成特别严重健康损害后果的；或经评估认为事故危害特别严重的；</w:t>
      </w:r>
    </w:p>
    <w:p w14:paraId="22CC7AB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（2）国务院认定的其他Ⅰ级食品安全事故。</w:t>
      </w:r>
    </w:p>
    <w:p w14:paraId="198D4BC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2.重大食品安全事故（Ⅱ级）</w:t>
      </w:r>
    </w:p>
    <w:p w14:paraId="5CA0BDB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符合下列情形之一的，为重大食品安全事故（Ⅱ级），启动Ⅱ级响应：</w:t>
      </w:r>
    </w:p>
    <w:p w14:paraId="1D9B576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（1）受污染食品流入2个以上地市，造成或经评估认为可能造成对社会公众健康产生严重损害的食物中毒或食源性疾病的；</w:t>
      </w:r>
    </w:p>
    <w:p w14:paraId="6B749AD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（2）发现在我国首次出现的新的污染物引起的食源性疾病，造成严重健康损害后果，并有扩散趋势的；</w:t>
      </w:r>
    </w:p>
    <w:p w14:paraId="7364886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（3）1起食物中毒事件中毒人数在100人以上并出现死亡病例或出现10人以上死亡的；</w:t>
      </w:r>
    </w:p>
    <w:p w14:paraId="72D121F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（4）省级以上政府认定的其他Ⅱ级食品安全事故。</w:t>
      </w:r>
    </w:p>
    <w:p w14:paraId="5C11F9F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3.较大食品安全事故（Ⅲ级）</w:t>
      </w:r>
    </w:p>
    <w:p w14:paraId="38B074B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符合下列情形之一的，为较大食品安全事故（Ⅲ级），启动Ⅲ级响应：</w:t>
      </w:r>
    </w:p>
    <w:p w14:paraId="647987F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（1）受污染食品流入2个以上县（市、区），已经造成严重健康损害后果的；</w:t>
      </w:r>
    </w:p>
    <w:p w14:paraId="2561C42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（2）1起食物中毒事件中毒人数在100人以上；或出现死亡病例的；</w:t>
      </w:r>
    </w:p>
    <w:p w14:paraId="32AEF99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（3）市级政府认定的其他Ⅲ级食品安全事故。</w:t>
      </w:r>
    </w:p>
    <w:p w14:paraId="7DA8EAA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4.一般食品安全事故（Ⅳ级）</w:t>
      </w:r>
    </w:p>
    <w:p w14:paraId="543E93E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符合下列情形之一的，为一般食品安全事故（Ⅳ级），启动Ⅳ级响应：</w:t>
      </w:r>
    </w:p>
    <w:p w14:paraId="7FBD0EB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（l）存在健康损害的污染食品，已造成严重健康损害后果的；</w:t>
      </w:r>
    </w:p>
    <w:p w14:paraId="12EA376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（2）1起食物中毒事件中毒人数99人以下，且未出现死亡病例的；</w:t>
      </w:r>
    </w:p>
    <w:p w14:paraId="3E5B675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（3）县级以上政府认定的其他Ⅳ级食品安全事故。</w:t>
      </w:r>
    </w:p>
    <w:p w14:paraId="539966E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上述有关数量的表述中，“以上”含本数，“以下”不含本数。</w:t>
      </w:r>
    </w:p>
    <w:p w14:paraId="3F0D790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spacing w:val="0"/>
          <w:sz w:val="32"/>
          <w:szCs w:val="32"/>
          <w:lang w:eastAsia="zh-CN"/>
        </w:rPr>
      </w:pPr>
      <w:bookmarkStart w:id="13" w:name="bookmark7"/>
      <w:bookmarkEnd w:id="13"/>
      <w:bookmarkStart w:id="14" w:name="_Toc13186"/>
      <w:r>
        <w:rPr>
          <w:rFonts w:hint="default" w:ascii="Times New Roman" w:hAnsi="Times New Roman" w:eastAsia="黑体" w:cs="Times New Roman"/>
          <w:spacing w:val="0"/>
          <w:sz w:val="32"/>
          <w:szCs w:val="32"/>
          <w:lang w:eastAsia="zh-CN"/>
        </w:rPr>
        <w:t>三、应急组织指挥体系与职责</w:t>
      </w:r>
      <w:bookmarkEnd w:id="14"/>
    </w:p>
    <w:p w14:paraId="02E88B2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15" w:name="bookmark8"/>
      <w:bookmarkEnd w:id="15"/>
      <w:bookmarkStart w:id="16" w:name="_Toc340"/>
      <w:r>
        <w:rPr>
          <w:rFonts w:hint="default" w:ascii="Times New Roman" w:hAnsi="Times New Roman" w:eastAsia="楷体" w:cs="Times New Roman"/>
          <w:b w:val="0"/>
          <w:bCs w:val="0"/>
          <w:spacing w:val="0"/>
          <w:sz w:val="32"/>
          <w:szCs w:val="32"/>
          <w:lang w:eastAsia="zh-CN"/>
        </w:rPr>
        <w:t>（一）领导机构与职责</w:t>
      </w:r>
      <w:bookmarkEnd w:id="16"/>
    </w:p>
    <w:p w14:paraId="2E2E7AC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食品安全事故发生后，区政府根据区市场局的建议和处理食品安全事故的需要，成立区食品安全事故应急指挥部，统一领导、指挥应急处置工作。</w:t>
      </w:r>
    </w:p>
    <w:p w14:paraId="482925E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1.食品安全事故应急指挥部组成及职责</w:t>
      </w:r>
    </w:p>
    <w:p w14:paraId="1F347A1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val="en-US"/>
        </w:rPr>
      </w:pPr>
      <w:r>
        <w:rPr>
          <w:rFonts w:hint="eastAsia" w:ascii="仿宋" w:hAnsi="仿宋" w:eastAsia="仿宋" w:cs="仿宋"/>
          <w:color w:val="auto"/>
          <w:spacing w:val="0"/>
          <w:sz w:val="32"/>
          <w:szCs w:val="32"/>
          <w:highlight w:val="none"/>
          <w:lang w:val="en-US"/>
        </w:rPr>
        <w:t>总</w:t>
      </w:r>
      <w:r>
        <w:rPr>
          <w:rFonts w:hint="eastAsia" w:ascii="仿宋" w:hAnsi="仿宋" w:eastAsia="仿宋" w:cs="仿宋"/>
          <w:color w:val="auto"/>
          <w:spacing w:val="0"/>
          <w:sz w:val="32"/>
          <w:szCs w:val="32"/>
          <w:highlight w:val="none"/>
          <w:lang w:val="en-US" w:eastAsia="zh-CN"/>
        </w:rPr>
        <w:t xml:space="preserve"> </w:t>
      </w:r>
      <w:r>
        <w:rPr>
          <w:rFonts w:hint="eastAsia" w:ascii="仿宋" w:hAnsi="仿宋" w:eastAsia="仿宋" w:cs="仿宋"/>
          <w:color w:val="auto"/>
          <w:spacing w:val="0"/>
          <w:sz w:val="32"/>
          <w:szCs w:val="32"/>
          <w:highlight w:val="none"/>
          <w:lang w:val="en-US"/>
        </w:rPr>
        <w:t>指</w:t>
      </w:r>
      <w:r>
        <w:rPr>
          <w:rFonts w:hint="eastAsia" w:ascii="仿宋" w:hAnsi="仿宋" w:eastAsia="仿宋" w:cs="仿宋"/>
          <w:color w:val="auto"/>
          <w:spacing w:val="0"/>
          <w:sz w:val="32"/>
          <w:szCs w:val="32"/>
          <w:highlight w:val="none"/>
          <w:lang w:val="en-US" w:eastAsia="zh-CN"/>
        </w:rPr>
        <w:t xml:space="preserve"> </w:t>
      </w:r>
      <w:r>
        <w:rPr>
          <w:rFonts w:hint="eastAsia" w:ascii="仿宋" w:hAnsi="仿宋" w:eastAsia="仿宋" w:cs="仿宋"/>
          <w:color w:val="auto"/>
          <w:spacing w:val="0"/>
          <w:sz w:val="32"/>
          <w:szCs w:val="32"/>
          <w:highlight w:val="none"/>
          <w:lang w:val="en-US"/>
        </w:rPr>
        <w:t>挥：</w:t>
      </w:r>
      <w:r>
        <w:rPr>
          <w:rFonts w:hint="eastAsia" w:ascii="仿宋" w:hAnsi="仿宋" w:eastAsia="仿宋" w:cs="仿宋"/>
          <w:snapToGrid/>
          <w:color w:val="auto"/>
          <w:spacing w:val="0"/>
          <w:sz w:val="32"/>
          <w:szCs w:val="32"/>
          <w:lang w:val="zh-CN" w:eastAsia="zh-CN" w:bidi="zh-CN"/>
        </w:rPr>
        <w:t>主管行业副区长</w:t>
      </w:r>
    </w:p>
    <w:p w14:paraId="74331DA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rPr>
        <w:t>副总指挥：</w:t>
      </w:r>
      <w:r>
        <w:rPr>
          <w:rFonts w:hint="eastAsia" w:ascii="仿宋" w:hAnsi="仿宋" w:eastAsia="仿宋" w:cs="仿宋"/>
          <w:color w:val="auto"/>
          <w:spacing w:val="0"/>
          <w:sz w:val="32"/>
          <w:szCs w:val="32"/>
          <w:highlight w:val="none"/>
          <w:lang w:val="en-US" w:eastAsia="zh-CN"/>
        </w:rPr>
        <w:t>区市场局局长</w:t>
      </w:r>
    </w:p>
    <w:p w14:paraId="54B819F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主要成员：区委宣传部</w:t>
      </w:r>
    </w:p>
    <w:p w14:paraId="44802ED5">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区市场局</w:t>
      </w:r>
    </w:p>
    <w:p w14:paraId="3136FC7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区卫健局</w:t>
      </w:r>
    </w:p>
    <w:p w14:paraId="590D072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区商务局</w:t>
      </w:r>
    </w:p>
    <w:p w14:paraId="358BA49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区教育局</w:t>
      </w:r>
    </w:p>
    <w:p w14:paraId="55B2A8B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向阳公安分局</w:t>
      </w:r>
    </w:p>
    <w:p w14:paraId="0C0A3C0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区民政局</w:t>
      </w:r>
    </w:p>
    <w:p w14:paraId="588344C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区财政局</w:t>
      </w:r>
    </w:p>
    <w:p w14:paraId="48FDD6A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向阳生态环境局</w:t>
      </w:r>
    </w:p>
    <w:p w14:paraId="1C9BB4A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区司法局</w:t>
      </w:r>
    </w:p>
    <w:p w14:paraId="73C63FA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区文旅局</w:t>
      </w:r>
    </w:p>
    <w:p w14:paraId="0A6F939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各街道办事处</w:t>
      </w:r>
    </w:p>
    <w:p w14:paraId="39F952C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各村屯</w:t>
      </w:r>
    </w:p>
    <w:p w14:paraId="41713D8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应急指挥部职责：</w:t>
      </w:r>
    </w:p>
    <w:p w14:paraId="3051A9F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（1）启动区食品安全事故应急预案；</w:t>
      </w:r>
    </w:p>
    <w:p w14:paraId="47F298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（2）领导、组织、协调事故应急处置工作；</w:t>
      </w:r>
    </w:p>
    <w:p w14:paraId="40C0792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（3）负责事故应急处置重大事项的决策；</w:t>
      </w:r>
    </w:p>
    <w:p w14:paraId="32F490C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（4）负责发布与事故相关的重要信息；</w:t>
      </w:r>
    </w:p>
    <w:p w14:paraId="6B620FC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（5）审议批准应急处置工作报告和应急处置的其他重要事项。</w:t>
      </w:r>
    </w:p>
    <w:p w14:paraId="2C054DE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2.区食品安全事故应急指挥部办公室</w:t>
      </w:r>
    </w:p>
    <w:p w14:paraId="7985E2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区食品安全事故应急指挥部下设办公室，设在区市场局，负责日常工作，主任由区市场局局长</w:t>
      </w:r>
      <w:r>
        <w:rPr>
          <w:rFonts w:hint="eastAsia" w:ascii="仿宋" w:hAnsi="仿宋" w:eastAsia="仿宋" w:cs="仿宋"/>
          <w:color w:val="auto"/>
          <w:spacing w:val="0"/>
          <w:sz w:val="32"/>
          <w:szCs w:val="32"/>
          <w:lang w:eastAsia="zh-CN"/>
        </w:rPr>
        <w:t>兼任</w:t>
      </w:r>
      <w:r>
        <w:rPr>
          <w:rFonts w:hint="default" w:ascii="仿宋" w:hAnsi="仿宋" w:eastAsia="仿宋" w:cs="仿宋"/>
          <w:color w:val="auto"/>
          <w:spacing w:val="0"/>
          <w:sz w:val="32"/>
          <w:szCs w:val="32"/>
          <w:lang w:eastAsia="zh-CN"/>
        </w:rPr>
        <w:t>。</w:t>
      </w:r>
    </w:p>
    <w:p w14:paraId="628B026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主要职责：</w:t>
      </w:r>
    </w:p>
    <w:p w14:paraId="09E898B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（1）承担区应急指挥部的日常工作，贯彻落实区应急指挥部的各项部署，组织实施事故应急处置工作；</w:t>
      </w:r>
    </w:p>
    <w:p w14:paraId="3B386AA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（2）检查督促相关地区和部门做好各项应急处置工作，防止事态蔓延扩大；</w:t>
      </w:r>
    </w:p>
    <w:p w14:paraId="7E60099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（3）研究协调解决事故应急处理工作中的具体问题；</w:t>
      </w:r>
    </w:p>
    <w:p w14:paraId="455BE06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（4）向区委、区政府以及区应急指挥部及其成员单位报告、通报事故应急处置的工作情况；</w:t>
      </w:r>
    </w:p>
    <w:p w14:paraId="70BCE2C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（5）根据区应急指挥部授权，统一组织信息发布、接受媒体采访；</w:t>
      </w:r>
    </w:p>
    <w:p w14:paraId="1955B75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（6）建立联络会商、发文、信息发布和督查等制度，确保快速反应、高效处置。</w:t>
      </w:r>
    </w:p>
    <w:p w14:paraId="0866D7E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17" w:name="bookmark9"/>
      <w:bookmarkEnd w:id="17"/>
      <w:bookmarkStart w:id="18" w:name="_Toc18735"/>
      <w:r>
        <w:rPr>
          <w:rFonts w:hint="default" w:ascii="Times New Roman" w:hAnsi="Times New Roman" w:eastAsia="楷体" w:cs="Times New Roman"/>
          <w:b w:val="0"/>
          <w:bCs w:val="0"/>
          <w:spacing w:val="0"/>
          <w:sz w:val="32"/>
          <w:szCs w:val="32"/>
          <w:lang w:eastAsia="zh-CN"/>
        </w:rPr>
        <w:t>（二）成员单位职责</w:t>
      </w:r>
      <w:bookmarkEnd w:id="18"/>
    </w:p>
    <w:p w14:paraId="6C74755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1.区委宣传部：</w:t>
      </w:r>
      <w:r>
        <w:rPr>
          <w:rFonts w:hint="eastAsia" w:ascii="仿宋" w:hAnsi="仿宋" w:eastAsia="仿宋" w:cs="仿宋"/>
          <w:spacing w:val="0"/>
          <w:sz w:val="32"/>
          <w:szCs w:val="32"/>
          <w:lang w:eastAsia="zh-CN"/>
        </w:rPr>
        <w:t>负责组织新闻媒体及时报道应急指挥部发布的食品安全事故信息，积极主动地正确引导舆论，加强食品安全事故应急处置的宣传报道和危机心理干预，大力普及食品安全知识。</w:t>
      </w:r>
    </w:p>
    <w:p w14:paraId="4AC6FAC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2.区市场局：</w:t>
      </w:r>
      <w:r>
        <w:rPr>
          <w:rFonts w:hint="default" w:ascii="仿宋" w:hAnsi="仿宋" w:eastAsia="仿宋" w:cs="仿宋"/>
          <w:spacing w:val="0"/>
          <w:sz w:val="32"/>
          <w:szCs w:val="32"/>
          <w:lang w:eastAsia="zh-CN"/>
        </w:rPr>
        <w:t>负责组织协调修订应急预案；负责区应急指挥部办公室日常工作；负责食品安全事故信息的收集、分析、报告、通报及信息发布；组织开展食品及相关产品生产经营环节食品安全事故应急处置和调查处理，依法采取必要的应急处置措施；负责食品安全事故的协调、监督、指导及责任调查处理工作，提出处理建议。</w:t>
      </w:r>
    </w:p>
    <w:p w14:paraId="4E8E77B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3.区卫健局：</w:t>
      </w:r>
      <w:r>
        <w:rPr>
          <w:rFonts w:hint="default" w:ascii="仿宋" w:hAnsi="仿宋" w:eastAsia="仿宋" w:cs="仿宋"/>
          <w:spacing w:val="0"/>
          <w:sz w:val="32"/>
          <w:szCs w:val="32"/>
          <w:lang w:eastAsia="zh-CN"/>
        </w:rPr>
        <w:t>负责组织开展食品安全事故相关的医疗救治，流行病学调查和现场卫生处理，食品安全风险监测与评估；负责督促指导医疗机构依法履行食品安全事故的信息报告。</w:t>
      </w:r>
    </w:p>
    <w:p w14:paraId="4A9434E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4.区商务局：</w:t>
      </w:r>
      <w:r>
        <w:rPr>
          <w:rFonts w:hint="default" w:ascii="仿宋" w:hAnsi="仿宋" w:eastAsia="仿宋" w:cs="仿宋"/>
          <w:spacing w:val="0"/>
          <w:sz w:val="32"/>
          <w:szCs w:val="32"/>
          <w:lang w:eastAsia="zh-CN"/>
        </w:rPr>
        <w:t>负责配合市场监督管理局开展食品流通环节造成食品安全事故违法行为的调查处理等工作</w:t>
      </w:r>
      <w:r>
        <w:rPr>
          <w:rFonts w:hint="eastAsia" w:ascii="仿宋" w:hAnsi="仿宋" w:eastAsia="仿宋" w:cs="仿宋"/>
          <w:spacing w:val="0"/>
          <w:sz w:val="32"/>
          <w:szCs w:val="32"/>
          <w:lang w:eastAsia="zh-CN"/>
        </w:rPr>
        <w:t>；</w:t>
      </w:r>
      <w:r>
        <w:rPr>
          <w:rFonts w:hint="default" w:ascii="仿宋" w:hAnsi="仿宋" w:eastAsia="仿宋" w:cs="仿宋"/>
          <w:spacing w:val="0"/>
          <w:sz w:val="32"/>
          <w:szCs w:val="32"/>
          <w:lang w:eastAsia="zh-CN"/>
        </w:rPr>
        <w:t>负责协调相关部门组织食品安全事故应急处置所需生活必需品的调配供应。</w:t>
      </w:r>
    </w:p>
    <w:p w14:paraId="32BF227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5.区教育局：</w:t>
      </w:r>
      <w:r>
        <w:rPr>
          <w:rFonts w:hint="default" w:ascii="仿宋" w:hAnsi="仿宋" w:eastAsia="仿宋" w:cs="仿宋"/>
          <w:spacing w:val="0"/>
          <w:sz w:val="32"/>
          <w:szCs w:val="32"/>
          <w:lang w:eastAsia="zh-CN"/>
        </w:rPr>
        <w:t>负责组织学校及幼儿园开展食品安全教育，督导学校及幼儿园做好食品安全管理工作，协助有关部门做好学校及幼儿园食品安全事故调查和应急处置。</w:t>
      </w:r>
    </w:p>
    <w:p w14:paraId="699A1C2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6.向阳公安分局：</w:t>
      </w:r>
      <w:r>
        <w:rPr>
          <w:rFonts w:hint="default" w:ascii="仿宋" w:hAnsi="仿宋" w:eastAsia="仿宋" w:cs="仿宋"/>
          <w:spacing w:val="0"/>
          <w:sz w:val="32"/>
          <w:szCs w:val="32"/>
          <w:lang w:eastAsia="zh-CN"/>
        </w:rPr>
        <w:t>负责食品安全事故中涉嫌犯罪行为的侦查工作；加强对食品安全事故现场的治安管理，有效维护救治秩序、社会治安和交通秩序；参与事故调查工作；对发布食品安全事故虚假信息、造谣滋事的单位或个人予以调查处理。</w:t>
      </w:r>
    </w:p>
    <w:p w14:paraId="5837C83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7.区民政局：</w:t>
      </w:r>
      <w:r>
        <w:rPr>
          <w:rFonts w:hint="default" w:ascii="仿宋" w:hAnsi="仿宋" w:eastAsia="仿宋" w:cs="仿宋"/>
          <w:spacing w:val="0"/>
          <w:sz w:val="32"/>
          <w:szCs w:val="32"/>
          <w:lang w:eastAsia="zh-CN"/>
        </w:rPr>
        <w:t>负责做好因食品安全事故影响群众基本生活的救助工作。</w:t>
      </w:r>
    </w:p>
    <w:p w14:paraId="6F09702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8.区财政局：</w:t>
      </w:r>
      <w:r>
        <w:rPr>
          <w:rFonts w:hint="default" w:ascii="仿宋" w:hAnsi="仿宋" w:eastAsia="仿宋" w:cs="仿宋"/>
          <w:spacing w:val="0"/>
          <w:sz w:val="32"/>
          <w:szCs w:val="32"/>
          <w:lang w:eastAsia="zh-CN"/>
        </w:rPr>
        <w:t>按照财政事权与支出责任相适应的原则，负责食品安全事故应急处置等工作所需资金的保障和监管。</w:t>
      </w:r>
    </w:p>
    <w:p w14:paraId="581F5CA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9.向阳生态环境局：</w:t>
      </w:r>
      <w:r>
        <w:rPr>
          <w:rFonts w:hint="default" w:ascii="仿宋" w:hAnsi="仿宋" w:eastAsia="仿宋" w:cs="仿宋"/>
          <w:spacing w:val="0"/>
          <w:sz w:val="32"/>
          <w:szCs w:val="32"/>
          <w:lang w:eastAsia="zh-CN"/>
        </w:rPr>
        <w:t>负责组织造成食品安全事故的环境污染事件调查处置工作；指导、协调开展环境污染处置；依法对造成食品安全事故的环境违法行为进行处理。</w:t>
      </w:r>
    </w:p>
    <w:p w14:paraId="46327B9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10.区司法局：</w:t>
      </w:r>
      <w:r>
        <w:rPr>
          <w:rFonts w:hint="default" w:ascii="仿宋" w:hAnsi="仿宋" w:eastAsia="仿宋" w:cs="仿宋"/>
          <w:spacing w:val="0"/>
          <w:sz w:val="32"/>
          <w:szCs w:val="32"/>
          <w:lang w:eastAsia="zh-CN"/>
        </w:rPr>
        <w:t>负责食品安全事故民事纠纷受害人的法律援助，组织人民调解委员会开展食品安全事故民事纠纷的调解工作</w:t>
      </w:r>
      <w:r>
        <w:rPr>
          <w:rFonts w:hint="eastAsia" w:ascii="仿宋" w:hAnsi="仿宋" w:eastAsia="仿宋" w:cs="仿宋"/>
          <w:spacing w:val="0"/>
          <w:sz w:val="32"/>
          <w:szCs w:val="32"/>
          <w:lang w:eastAsia="zh-CN"/>
        </w:rPr>
        <w:t>。</w:t>
      </w:r>
    </w:p>
    <w:p w14:paraId="19BB17A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11.区文旅局：</w:t>
      </w:r>
      <w:r>
        <w:rPr>
          <w:rFonts w:hint="default" w:ascii="仿宋" w:hAnsi="仿宋" w:eastAsia="仿宋" w:cs="仿宋"/>
          <w:spacing w:val="0"/>
          <w:sz w:val="32"/>
          <w:szCs w:val="32"/>
          <w:lang w:eastAsia="zh-CN"/>
        </w:rPr>
        <w:t>负责协助市场监督管理局对涉及旅游的食品安全事故进行应急处置。</w:t>
      </w:r>
    </w:p>
    <w:p w14:paraId="39885C4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12.其他成员单位：</w:t>
      </w:r>
      <w:r>
        <w:rPr>
          <w:rFonts w:hint="default" w:ascii="仿宋" w:hAnsi="仿宋" w:eastAsia="仿宋" w:cs="仿宋"/>
          <w:spacing w:val="0"/>
          <w:sz w:val="32"/>
          <w:szCs w:val="32"/>
          <w:lang w:eastAsia="zh-CN"/>
        </w:rPr>
        <w:t>在区应急指挥部统一领导下开展食品安全事故应急处置工作。</w:t>
      </w:r>
    </w:p>
    <w:p w14:paraId="3F49097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13.区应急指挥部根据处置工作需要，可酌情增加成员单位。</w:t>
      </w:r>
    </w:p>
    <w:p w14:paraId="6FFD668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19" w:name="bookmark10"/>
      <w:bookmarkEnd w:id="19"/>
      <w:bookmarkStart w:id="20" w:name="_Toc281"/>
      <w:r>
        <w:rPr>
          <w:rFonts w:hint="default" w:ascii="Times New Roman" w:hAnsi="Times New Roman" w:eastAsia="楷体" w:cs="Times New Roman"/>
          <w:b w:val="0"/>
          <w:bCs w:val="0"/>
          <w:spacing w:val="0"/>
          <w:sz w:val="32"/>
          <w:szCs w:val="32"/>
          <w:lang w:eastAsia="zh-CN"/>
        </w:rPr>
        <w:t>（三）应急工作机构及职责</w:t>
      </w:r>
      <w:bookmarkEnd w:id="20"/>
    </w:p>
    <w:p w14:paraId="6754629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区食品安全事故应急预案启动后，区食品安全事故应急指挥部立即成立相应的应急处置工作小组。应急处置工作小组在区食品安全事故应急指挥部统一指挥下，按要求履行职责，及时组织实施应急处置措施，并随时将处理情况报告区食品安全事故应急指挥部。</w:t>
      </w:r>
    </w:p>
    <w:p w14:paraId="2B57821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1.事故调查组</w:t>
      </w:r>
    </w:p>
    <w:p w14:paraId="5726858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由区市场局牵头，向阳公安分局、区卫健局等部门参加。</w:t>
      </w:r>
    </w:p>
    <w:p w14:paraId="7BDD1EF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主要职责：调查事故发生原因，评估事故影响，查明致病原因，形成调查结论，提出事故防范意见；开展流行病学调查；对涉嫌犯罪的，督促、指导涉案地公安机关立案侦办，查清事实，依法追究刑事责任；对监管部门及其他机关工作人员的失职、渎职等行为进行调查。协调指导区政府职能部门实施救援工作，监督救援措施的落实。</w:t>
      </w:r>
    </w:p>
    <w:p w14:paraId="6CFB1B1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2.危害控制组</w:t>
      </w:r>
    </w:p>
    <w:p w14:paraId="784C18C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由事故发生环节的具体监管职能部门牵头，相关监管部门参加。</w:t>
      </w:r>
    </w:p>
    <w:p w14:paraId="1A5E694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主要职责：监督、指导相关单位召回、下架、封存有关食品、原料、食品添加剂及食品相关产品；对问题食品、原料、食品添加剂及食品相关产品的来源和流向进行追溯</w:t>
      </w:r>
      <w:r>
        <w:rPr>
          <w:rFonts w:hint="eastAsia" w:ascii="仿宋" w:hAnsi="仿宋" w:eastAsia="仿宋" w:cs="仿宋"/>
          <w:spacing w:val="0"/>
          <w:sz w:val="32"/>
          <w:szCs w:val="32"/>
          <w:lang w:eastAsia="zh-CN"/>
        </w:rPr>
        <w:t>、</w:t>
      </w:r>
      <w:r>
        <w:rPr>
          <w:rFonts w:hint="default" w:ascii="仿宋" w:hAnsi="仿宋" w:eastAsia="仿宋" w:cs="仿宋"/>
          <w:spacing w:val="0"/>
          <w:sz w:val="32"/>
          <w:szCs w:val="32"/>
          <w:lang w:eastAsia="zh-CN"/>
        </w:rPr>
        <w:t>采样检测；对发生食品安全事故现场和可能污染的工具、设备等设施进行彻底消毒，防止危害蔓延扩大。</w:t>
      </w:r>
    </w:p>
    <w:p w14:paraId="32F96F1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3.医疗救治组</w:t>
      </w:r>
    </w:p>
    <w:p w14:paraId="26274B8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由区卫健局牵头，向阳交警大队参加。</w:t>
      </w:r>
    </w:p>
    <w:p w14:paraId="4C88434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主要职责：结合事故调查组的调查情况，制定最佳救治方案，指导、组织医疗机构对健康受到危害的人员进行医疗救治。</w:t>
      </w:r>
    </w:p>
    <w:p w14:paraId="228A6D4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4.检查检测组</w:t>
      </w:r>
    </w:p>
    <w:p w14:paraId="338E751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由区市场局负责，区卫健局等部门参加。</w:t>
      </w:r>
    </w:p>
    <w:p w14:paraId="7B2EAD5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主要职责：提出检测方案和要求，组织实施相关检测；查找事故致病因素，分析事故发展趋势，预测事故后果，为制定现场抢救方案和采取控制措施提供参考。</w:t>
      </w:r>
    </w:p>
    <w:p w14:paraId="48BD1FC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5.治安维护组</w:t>
      </w:r>
    </w:p>
    <w:p w14:paraId="1A79C7A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由向阳公安分局负责，相关部门参加。</w:t>
      </w:r>
    </w:p>
    <w:p w14:paraId="4CEE07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主要职责：加强治安管理，维护社会稳定，开展刑事案件排查。</w:t>
      </w:r>
    </w:p>
    <w:p w14:paraId="6299D09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6.综合保障组</w:t>
      </w:r>
    </w:p>
    <w:p w14:paraId="41E3E14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由区市场局负责，区财政局、区应急局、区卫健局、事故发生地有关职能部门参加。</w:t>
      </w:r>
    </w:p>
    <w:p w14:paraId="5E4587D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主要职责：负责救援工作开展、保障工作人员的生活，负责受灾人员的基本生活保障。</w:t>
      </w:r>
    </w:p>
    <w:p w14:paraId="2C799F1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7.新闻宣传组</w:t>
      </w:r>
    </w:p>
    <w:p w14:paraId="50D940F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由区委宣传部牵头，区市场局等部门参加。</w:t>
      </w:r>
    </w:p>
    <w:p w14:paraId="399D6C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主要职责：组织事故处置宣传报道和舆论引导，配合相关部门做好信息发布工作。</w:t>
      </w:r>
    </w:p>
    <w:p w14:paraId="676A0C8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21" w:name="bookmark11"/>
      <w:bookmarkEnd w:id="21"/>
      <w:bookmarkStart w:id="22" w:name="_Toc156"/>
      <w:r>
        <w:rPr>
          <w:rFonts w:hint="default" w:ascii="Times New Roman" w:hAnsi="Times New Roman" w:eastAsia="楷体" w:cs="Times New Roman"/>
          <w:b w:val="0"/>
          <w:bCs w:val="0"/>
          <w:spacing w:val="0"/>
          <w:sz w:val="32"/>
          <w:szCs w:val="32"/>
          <w:lang w:eastAsia="zh-CN"/>
        </w:rPr>
        <w:t>（四）街道办事处应急指挥机构</w:t>
      </w:r>
      <w:bookmarkEnd w:id="22"/>
    </w:p>
    <w:p w14:paraId="6A6F9E3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发生食品安全事故后，事故发生地的街道办事处应当成立食品安全事故应急机构，在上级应急指挥机构和区政府领导下，组织和指挥本地区食品安全事故应急救援工作。</w:t>
      </w:r>
    </w:p>
    <w:p w14:paraId="5715718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spacing w:val="0"/>
          <w:sz w:val="32"/>
          <w:szCs w:val="32"/>
          <w:lang w:eastAsia="zh-CN"/>
        </w:rPr>
      </w:pPr>
      <w:bookmarkStart w:id="23" w:name="bookmark12"/>
      <w:bookmarkEnd w:id="23"/>
      <w:bookmarkStart w:id="24" w:name="_Toc19258"/>
      <w:r>
        <w:rPr>
          <w:rFonts w:hint="default" w:ascii="Times New Roman" w:hAnsi="Times New Roman" w:eastAsia="楷体" w:cs="Times New Roman"/>
          <w:b w:val="0"/>
          <w:bCs w:val="0"/>
          <w:spacing w:val="0"/>
          <w:sz w:val="32"/>
          <w:szCs w:val="32"/>
          <w:lang w:eastAsia="zh-CN"/>
        </w:rPr>
        <w:t>（五）专家组</w:t>
      </w:r>
      <w:bookmarkEnd w:id="24"/>
    </w:p>
    <w:p w14:paraId="6CB1482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区市场局会同有关部门建立食品安全事故专家库。发生食品安全事故后，从专家库中确定相关专家组建专家组。</w:t>
      </w:r>
    </w:p>
    <w:p w14:paraId="682A8AB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主要职责：负责食品安全事故的快速检测、分析评估、趋势研判，为应急响应的调整和解除以及应急处置工作提供决策建议。</w:t>
      </w:r>
    </w:p>
    <w:p w14:paraId="43175F8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spacing w:val="0"/>
          <w:sz w:val="32"/>
          <w:szCs w:val="32"/>
          <w:lang w:eastAsia="zh-CN"/>
        </w:rPr>
      </w:pPr>
      <w:bookmarkStart w:id="25" w:name="_Toc4892"/>
      <w:r>
        <w:rPr>
          <w:rFonts w:hint="default" w:ascii="Times New Roman" w:hAnsi="Times New Roman" w:eastAsia="黑体" w:cs="Times New Roman"/>
          <w:spacing w:val="0"/>
          <w:sz w:val="32"/>
          <w:szCs w:val="32"/>
          <w:lang w:eastAsia="zh-CN"/>
        </w:rPr>
        <w:t>四、风险管控</w:t>
      </w:r>
      <w:bookmarkEnd w:id="25"/>
    </w:p>
    <w:p w14:paraId="72B86C7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向阳区坚持“预防为主、综合管控”的方针，通过系统性地识别、评估、控制和监控潜在风险，最大限度地降低突发事件发生的可能性及可能造成的损失，变被动应对为主动防范。</w:t>
      </w:r>
    </w:p>
    <w:p w14:paraId="282735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26" w:name="_Toc31413"/>
      <w:r>
        <w:rPr>
          <w:rFonts w:hint="default" w:ascii="Times New Roman" w:hAnsi="Times New Roman" w:eastAsia="楷体" w:cs="Times New Roman"/>
          <w:b w:val="0"/>
          <w:bCs w:val="0"/>
          <w:spacing w:val="0"/>
          <w:sz w:val="32"/>
          <w:szCs w:val="32"/>
          <w:lang w:eastAsia="zh-CN"/>
        </w:rPr>
        <w:t>（一）风险识别与评估</w:t>
      </w:r>
      <w:bookmarkEnd w:id="26"/>
    </w:p>
    <w:p w14:paraId="034228B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1.全面风险识别：</w:t>
      </w:r>
      <w:r>
        <w:rPr>
          <w:rFonts w:hint="eastAsia" w:ascii="仿宋" w:hAnsi="仿宋" w:eastAsia="仿宋" w:cs="仿宋"/>
          <w:spacing w:val="0"/>
          <w:sz w:val="32"/>
          <w:szCs w:val="32"/>
          <w:lang w:eastAsia="zh-CN"/>
        </w:rPr>
        <w:t>区政府组织各专项应急指挥部、有关部门和街道办事处，依据本预案总则部分对自然灾害、事故灾难、公共卫生事件和社会安全事件的分析，结合辖区人口、产业、地理、气候等特点，定期开展全面风险调查。</w:t>
      </w:r>
    </w:p>
    <w:p w14:paraId="1C203D7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2.识别范围：</w:t>
      </w:r>
      <w:r>
        <w:rPr>
          <w:rFonts w:hint="eastAsia" w:ascii="仿宋" w:hAnsi="仿宋" w:eastAsia="仿宋" w:cs="仿宋"/>
          <w:spacing w:val="0"/>
          <w:sz w:val="32"/>
          <w:szCs w:val="32"/>
          <w:lang w:eastAsia="zh-CN"/>
        </w:rPr>
        <w:t>覆盖全区各行业、各领域、所有生产经营单位和社会生活环节，重点针对学校、幼儿园、福利院、商业综合体、工厂企业、人员密集场所、居民小区、城市生命线工程（供水、供电、供气、通讯）单位等重点区域和薄弱环节。</w:t>
      </w:r>
    </w:p>
    <w:p w14:paraId="1BE38B7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3.识别方法：</w:t>
      </w:r>
      <w:r>
        <w:rPr>
          <w:rFonts w:hint="default" w:ascii="仿宋" w:hAnsi="仿宋" w:eastAsia="仿宋" w:cs="仿宋"/>
          <w:spacing w:val="0"/>
          <w:sz w:val="32"/>
          <w:szCs w:val="32"/>
          <w:lang w:eastAsia="zh-CN"/>
        </w:rPr>
        <w:t>综合运用食品安全隐患排查、专家检查、舆情分析、案例复盘、公众反映等多种方式，动态更新风险源信息。</w:t>
      </w:r>
    </w:p>
    <w:p w14:paraId="03699D9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4.科学风险评估：</w:t>
      </w:r>
      <w:r>
        <w:rPr>
          <w:rFonts w:hint="default" w:ascii="仿宋" w:hAnsi="仿宋" w:eastAsia="仿宋" w:cs="仿宋"/>
          <w:spacing w:val="0"/>
          <w:sz w:val="32"/>
          <w:szCs w:val="32"/>
          <w:lang w:eastAsia="zh-CN"/>
        </w:rPr>
        <w:t>对识别出的食品安全风险进行分析评估，确定风险等级。</w:t>
      </w:r>
    </w:p>
    <w:p w14:paraId="05D0338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5.评估标准：</w:t>
      </w:r>
      <w:r>
        <w:rPr>
          <w:rFonts w:hint="default" w:ascii="仿宋" w:hAnsi="仿宋" w:eastAsia="仿宋" w:cs="仿宋"/>
          <w:spacing w:val="0"/>
          <w:sz w:val="32"/>
          <w:szCs w:val="32"/>
          <w:lang w:eastAsia="zh-CN"/>
        </w:rPr>
        <w:t>采用定性与定量相结合的方法，从事件发生的可能性和后果的严重性两个维度，参照国家和行业标准，对食品安全风险进行综合研判。</w:t>
      </w:r>
    </w:p>
    <w:p w14:paraId="1F5685C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6.风险分级：</w:t>
      </w:r>
      <w:r>
        <w:rPr>
          <w:rFonts w:hint="default" w:ascii="仿宋" w:hAnsi="仿宋" w:eastAsia="仿宋" w:cs="仿宋"/>
          <w:spacing w:val="0"/>
          <w:sz w:val="32"/>
          <w:szCs w:val="32"/>
          <w:lang w:eastAsia="zh-CN"/>
        </w:rPr>
        <w:t>根据评估结果，将风险划分为重大风险、较大风险、一般风险和低风险四个等级，并建立《向阳区食品安全风</w:t>
      </w:r>
      <w:r>
        <w:rPr>
          <w:rFonts w:hint="default" w:ascii="仿宋" w:hAnsi="仿宋" w:eastAsia="仿宋" w:cs="仿宋"/>
          <w:color w:val="auto"/>
          <w:spacing w:val="0"/>
          <w:sz w:val="32"/>
          <w:szCs w:val="32"/>
          <w:lang w:eastAsia="zh-CN"/>
        </w:rPr>
        <w:t>险分类分级清单》</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bidi="zh-CN"/>
        </w:rPr>
        <w:t>分类</w:t>
      </w:r>
      <w:r>
        <w:rPr>
          <w:rFonts w:hint="eastAsia" w:ascii="仿宋" w:hAnsi="仿宋" w:eastAsia="仿宋" w:cs="仿宋"/>
          <w:spacing w:val="0"/>
          <w:sz w:val="32"/>
          <w:szCs w:val="32"/>
          <w:lang w:val="en-US" w:eastAsia="zh-CN" w:bidi="zh-CN"/>
        </w:rPr>
        <w:t>分级清单由行管部门填写，</w:t>
      </w:r>
      <w:r>
        <w:rPr>
          <w:rFonts w:hint="default" w:ascii="仿宋" w:hAnsi="仿宋" w:eastAsia="仿宋" w:cs="仿宋"/>
          <w:spacing w:val="0"/>
          <w:sz w:val="32"/>
          <w:szCs w:val="32"/>
          <w:lang w:eastAsia="zh-CN"/>
        </w:rPr>
        <w:t>作为精准施策的依据。</w:t>
      </w:r>
    </w:p>
    <w:p w14:paraId="55582B0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27" w:name="_Toc8923"/>
      <w:r>
        <w:rPr>
          <w:rFonts w:hint="default" w:ascii="Times New Roman" w:hAnsi="Times New Roman" w:eastAsia="楷体" w:cs="Times New Roman"/>
          <w:b w:val="0"/>
          <w:bCs w:val="0"/>
          <w:spacing w:val="0"/>
          <w:sz w:val="32"/>
          <w:szCs w:val="32"/>
          <w:lang w:eastAsia="zh-CN"/>
        </w:rPr>
        <w:t>（二）风险控制与治理</w:t>
      </w:r>
      <w:bookmarkEnd w:id="27"/>
    </w:p>
    <w:p w14:paraId="327729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根据风险评估结果，实行风险分级管控，采取以下针对性控制措施，优先级从高到低依次为：</w:t>
      </w:r>
    </w:p>
    <w:p w14:paraId="2091F00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1.消除风险：</w:t>
      </w:r>
      <w:r>
        <w:rPr>
          <w:rFonts w:hint="default" w:ascii="仿宋" w:hAnsi="仿宋" w:eastAsia="仿宋" w:cs="仿宋"/>
          <w:spacing w:val="0"/>
          <w:sz w:val="32"/>
          <w:szCs w:val="32"/>
          <w:lang w:eastAsia="zh-CN"/>
        </w:rPr>
        <w:t>优化城市规划布局和产业政策，从源头上消除重大风险。对无法消除的重大危险源，鼓励采用先进工艺、安全食材进行替代。</w:t>
      </w:r>
    </w:p>
    <w:p w14:paraId="19B2FE3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2.技术控制：</w:t>
      </w:r>
      <w:r>
        <w:rPr>
          <w:rFonts w:hint="default" w:ascii="仿宋" w:hAnsi="仿宋" w:eastAsia="仿宋" w:cs="仿宋"/>
          <w:spacing w:val="0"/>
          <w:sz w:val="32"/>
          <w:szCs w:val="32"/>
          <w:lang w:eastAsia="zh-CN"/>
        </w:rPr>
        <w:t>在重点单位、重点场所和重要设施中，加强食品安全设施建设，如安装安全监控报警装置、人员资质管控等措施，提升食品安全事件防范水平。</w:t>
      </w:r>
    </w:p>
    <w:p w14:paraId="02CF2F2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3.管理控制：</w:t>
      </w:r>
      <w:r>
        <w:rPr>
          <w:rFonts w:hint="default" w:ascii="仿宋" w:hAnsi="仿宋" w:eastAsia="仿宋" w:cs="仿宋"/>
          <w:spacing w:val="0"/>
          <w:sz w:val="32"/>
          <w:szCs w:val="32"/>
          <w:lang w:eastAsia="zh-CN"/>
        </w:rPr>
        <w:t>各行业主管部门、企事业单位和基层组织应建立健全食品安全管理制度、设备设施操作规程和食品安全应急预案。</w:t>
      </w:r>
    </w:p>
    <w:p w14:paraId="6150438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color w:val="auto"/>
          <w:spacing w:val="0"/>
          <w:sz w:val="32"/>
          <w:szCs w:val="32"/>
          <w:lang w:eastAsia="zh-CN"/>
        </w:rPr>
        <w:t>4.分级负责：</w:t>
      </w:r>
      <w:r>
        <w:rPr>
          <w:rFonts w:hint="default" w:ascii="仿宋" w:hAnsi="仿宋" w:eastAsia="仿宋" w:cs="仿宋"/>
          <w:color w:val="auto"/>
          <w:spacing w:val="0"/>
          <w:sz w:val="32"/>
          <w:szCs w:val="32"/>
          <w:lang w:eastAsia="zh-CN"/>
        </w:rPr>
        <w:t>落实属地管理和行业监管责任。重大风险由区政府和区</w:t>
      </w:r>
      <w:r>
        <w:rPr>
          <w:rFonts w:hint="eastAsia" w:ascii="仿宋" w:hAnsi="仿宋" w:eastAsia="仿宋" w:cs="仿宋"/>
          <w:color w:val="auto"/>
          <w:spacing w:val="0"/>
          <w:sz w:val="32"/>
          <w:szCs w:val="32"/>
          <w:lang w:eastAsia="zh-CN"/>
        </w:rPr>
        <w:t>行业</w:t>
      </w:r>
      <w:r>
        <w:rPr>
          <w:rFonts w:hint="default" w:ascii="仿宋" w:hAnsi="仿宋" w:eastAsia="仿宋" w:cs="仿宋"/>
          <w:color w:val="auto"/>
          <w:spacing w:val="0"/>
          <w:sz w:val="32"/>
          <w:szCs w:val="32"/>
          <w:lang w:eastAsia="zh-CN"/>
        </w:rPr>
        <w:t>主管部门重点管控；</w:t>
      </w:r>
      <w:r>
        <w:rPr>
          <w:rFonts w:hint="default" w:ascii="仿宋" w:hAnsi="仿宋" w:eastAsia="仿宋" w:cs="仿宋"/>
          <w:spacing w:val="0"/>
          <w:sz w:val="32"/>
          <w:szCs w:val="32"/>
          <w:lang w:eastAsia="zh-CN"/>
        </w:rPr>
        <w:t>较大及一般风险由各街道办事处和相关部门负责监管；企事业单位落实主体责任，管控本单位风险。</w:t>
      </w:r>
    </w:p>
    <w:p w14:paraId="5F3B8EE0">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5.隐患排查：</w:t>
      </w:r>
      <w:r>
        <w:rPr>
          <w:rFonts w:hint="default" w:ascii="仿宋" w:hAnsi="仿宋" w:eastAsia="仿宋" w:cs="仿宋"/>
          <w:spacing w:val="0"/>
          <w:sz w:val="32"/>
          <w:szCs w:val="32"/>
          <w:lang w:eastAsia="zh-CN"/>
        </w:rPr>
        <w:t>建立常态化食品安全隐患排查治理机制，对发现的隐患建立台账，明确责任，限期整改，实现闭环管理。</w:t>
      </w:r>
    </w:p>
    <w:p w14:paraId="0AE5096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6.应急准备：</w:t>
      </w:r>
      <w:r>
        <w:rPr>
          <w:rFonts w:hint="default" w:ascii="仿宋" w:hAnsi="仿宋" w:eastAsia="仿宋" w:cs="仿宋"/>
          <w:spacing w:val="0"/>
          <w:sz w:val="32"/>
          <w:szCs w:val="32"/>
          <w:lang w:eastAsia="zh-CN"/>
        </w:rPr>
        <w:t>对于无法彻底消除的风险，通过编制食品安全应急预案、储备应急物资、加强应急演练、建设应急队伍等措施，做好应急准备，降低事件发生后的损失。</w:t>
      </w:r>
    </w:p>
    <w:p w14:paraId="0FA5BE8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7.宣传与培训：</w:t>
      </w:r>
      <w:r>
        <w:rPr>
          <w:rFonts w:hint="default" w:ascii="仿宋" w:hAnsi="仿宋" w:eastAsia="仿宋" w:cs="仿宋"/>
          <w:spacing w:val="0"/>
          <w:sz w:val="32"/>
          <w:szCs w:val="32"/>
          <w:lang w:eastAsia="zh-CN"/>
        </w:rPr>
        <w:t>加强公共食品安全宣传教育，普及风险防范、避险逃生、自救互救知识和技能，增强全社会风险意识和应对能力。</w:t>
      </w:r>
    </w:p>
    <w:p w14:paraId="648C322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28" w:name="_Toc30596"/>
      <w:r>
        <w:rPr>
          <w:rFonts w:hint="default" w:ascii="Times New Roman" w:hAnsi="Times New Roman" w:eastAsia="楷体" w:cs="Times New Roman"/>
          <w:b w:val="0"/>
          <w:bCs w:val="0"/>
          <w:spacing w:val="0"/>
          <w:sz w:val="32"/>
          <w:szCs w:val="32"/>
          <w:lang w:eastAsia="zh-CN"/>
        </w:rPr>
        <w:t>（三）监控与更新</w:t>
      </w:r>
      <w:bookmarkEnd w:id="28"/>
    </w:p>
    <w:p w14:paraId="716C5FC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1.动态监测：</w:t>
      </w:r>
      <w:r>
        <w:rPr>
          <w:rFonts w:hint="eastAsia" w:ascii="仿宋" w:hAnsi="仿宋" w:eastAsia="仿宋" w:cs="仿宋"/>
          <w:spacing w:val="0"/>
          <w:sz w:val="32"/>
          <w:szCs w:val="32"/>
          <w:lang w:eastAsia="zh-CN"/>
        </w:rPr>
        <w:t>利用物联网、大数据等现代信息技术，对重大风险和重点危险源进行动态监测和跟踪。各有关部门和街道办事处应定期对职责范围内的风险管控措施落实情况进行监督检查。</w:t>
      </w:r>
    </w:p>
    <w:p w14:paraId="65A320D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2.定期评审：</w:t>
      </w:r>
      <w:r>
        <w:rPr>
          <w:rFonts w:hint="eastAsia" w:ascii="仿宋" w:hAnsi="仿宋" w:eastAsia="仿宋" w:cs="仿宋"/>
          <w:spacing w:val="0"/>
          <w:sz w:val="32"/>
          <w:szCs w:val="32"/>
          <w:lang w:eastAsia="zh-CN"/>
        </w:rPr>
        <w:t>建立风险动态评估机制。区政府定期组织全区风险形势分析会商。当出现法律法规变化、城市规划调整、产业结构升级、重要设施建设等情形时，应及时组织重新评估，更新风险清单与管控措施。</w:t>
      </w:r>
    </w:p>
    <w:p w14:paraId="3E2EF5B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spacing w:val="0"/>
          <w:sz w:val="32"/>
          <w:szCs w:val="32"/>
          <w:lang w:eastAsia="zh-CN"/>
        </w:rPr>
      </w:pPr>
      <w:bookmarkStart w:id="29" w:name="bookmark13"/>
      <w:bookmarkEnd w:id="29"/>
      <w:bookmarkStart w:id="30" w:name="_Toc5226"/>
      <w:r>
        <w:rPr>
          <w:rFonts w:hint="default" w:ascii="Times New Roman" w:hAnsi="Times New Roman" w:eastAsia="黑体" w:cs="Times New Roman"/>
          <w:spacing w:val="0"/>
          <w:sz w:val="32"/>
          <w:szCs w:val="32"/>
          <w:lang w:eastAsia="zh-CN"/>
        </w:rPr>
        <w:t>五、监测、预警与报告</w:t>
      </w:r>
      <w:bookmarkEnd w:id="30"/>
    </w:p>
    <w:p w14:paraId="2A95A77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31" w:name="bookmark14"/>
      <w:bookmarkEnd w:id="31"/>
      <w:bookmarkStart w:id="32" w:name="_Toc9866"/>
      <w:r>
        <w:rPr>
          <w:rFonts w:hint="default" w:ascii="Times New Roman" w:hAnsi="Times New Roman" w:eastAsia="楷体" w:cs="Times New Roman"/>
          <w:b w:val="0"/>
          <w:bCs w:val="0"/>
          <w:spacing w:val="0"/>
          <w:sz w:val="32"/>
          <w:szCs w:val="32"/>
          <w:lang w:eastAsia="zh-CN"/>
        </w:rPr>
        <w:t>（一）监测与预警</w:t>
      </w:r>
      <w:bookmarkEnd w:id="32"/>
    </w:p>
    <w:p w14:paraId="4A45E08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bookmarkStart w:id="33" w:name="bookmark15"/>
      <w:bookmarkEnd w:id="33"/>
      <w:r>
        <w:rPr>
          <w:rFonts w:hint="eastAsia" w:ascii="仿宋" w:hAnsi="仿宋" w:eastAsia="仿宋" w:cs="仿宋"/>
          <w:spacing w:val="0"/>
          <w:sz w:val="32"/>
          <w:szCs w:val="32"/>
          <w:lang w:eastAsia="zh-CN"/>
        </w:rPr>
        <w:t>区市场局综合利用信息来源落实食品安全风险监测工作，开展食源性疾病、食品污染和食品中有害因素预警。对食品安全状况进行综合分析，对可能产生安全风险的食品，提出并发布食品安全风险警示信息。</w:t>
      </w:r>
    </w:p>
    <w:p w14:paraId="75C3C7F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区市场局根据食品安全预警信息，通过研判为疑似群体性食品安全事故的，应及时通报区卫健局和有关方面，依法及时采取有效控制措施。</w:t>
      </w:r>
    </w:p>
    <w:p w14:paraId="72DBA45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34" w:name="_Toc18791"/>
      <w:r>
        <w:rPr>
          <w:rFonts w:hint="default" w:ascii="Times New Roman" w:hAnsi="Times New Roman" w:eastAsia="楷体" w:cs="Times New Roman"/>
          <w:b w:val="0"/>
          <w:bCs w:val="0"/>
          <w:spacing w:val="0"/>
          <w:sz w:val="32"/>
          <w:szCs w:val="32"/>
          <w:lang w:eastAsia="zh-CN"/>
        </w:rPr>
        <w:t>（二）信息报告</w:t>
      </w:r>
      <w:bookmarkEnd w:id="34"/>
    </w:p>
    <w:p w14:paraId="6F3CE52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1.事故信息来源</w:t>
      </w:r>
    </w:p>
    <w:p w14:paraId="0E2F64D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（1）食品安全事故发生单位与引发食品安全事故的食品生产、经营单位报告的信息；</w:t>
      </w:r>
    </w:p>
    <w:p w14:paraId="4B3BEF4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（2）医疗机构报告的信息；</w:t>
      </w:r>
    </w:p>
    <w:p w14:paraId="5556937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（3）食品安全相关技术机构监测和分析结果；</w:t>
      </w:r>
    </w:p>
    <w:p w14:paraId="75630F1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（4）经核实的公众举报信息；</w:t>
      </w:r>
    </w:p>
    <w:p w14:paraId="7446082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（5）经核实的媒体披露与报道的舆情信息；</w:t>
      </w:r>
    </w:p>
    <w:p w14:paraId="3DB34EC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（6）街道等基层单位报告的信息；</w:t>
      </w:r>
    </w:p>
    <w:p w14:paraId="22E2125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（7）上级有关部门和毗邻行政区域通报的信息；</w:t>
      </w:r>
    </w:p>
    <w:p w14:paraId="55E5881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（8）其他信息来源。</w:t>
      </w:r>
    </w:p>
    <w:p w14:paraId="61A2ABF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2.事故报告</w:t>
      </w:r>
    </w:p>
    <w:p w14:paraId="38AB82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特别重大、重大及较大食品安全事故发生（发现）后，事故现场有关人员应立即报告单位负责人，单位负责人接到报告后应立即向当地街道办事处、区食品安全委员会办公室及有关部门报告，也可直接向市食品安全委员会办公室（市市场监督管理局）报告。街道办事处和食品安全监管部门接到特别重大、重大及较大食品安全事故报告后，应于半小时内向区政府和上级食品安全监管部门报告。</w:t>
      </w:r>
    </w:p>
    <w:p w14:paraId="26A9722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3.信息报告责任单位</w:t>
      </w:r>
    </w:p>
    <w:p w14:paraId="4D8D5A4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（1）食品生产经营者及发生可能与食品有关的急性群体性健康损害的单位；</w:t>
      </w:r>
    </w:p>
    <w:p w14:paraId="42CCFEE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（2）各级医疗卫生机构、疾病预防控制机构、检验检疫机构、教育机构等；</w:t>
      </w:r>
    </w:p>
    <w:p w14:paraId="4D5CBF9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（3）食品安全事故发生（发现）单位和其他有关单位；</w:t>
      </w:r>
    </w:p>
    <w:p w14:paraId="7A2EB02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（4）食品安全监管部门及相关单位；</w:t>
      </w:r>
    </w:p>
    <w:p w14:paraId="6C2815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（5）事发后的应急指挥机构；</w:t>
      </w:r>
    </w:p>
    <w:p w14:paraId="58DF8A4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（6）法律法规规定的其他报告责任单位。</w:t>
      </w:r>
    </w:p>
    <w:p w14:paraId="12C7E49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报告责任单位应当按照早发现、早报告的要求，依据有关法律法规和相关规定履行报告义务。</w:t>
      </w:r>
    </w:p>
    <w:p w14:paraId="199A1E5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4.报告及通报时限</w:t>
      </w:r>
    </w:p>
    <w:p w14:paraId="488A0DF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食品生产经营者发现其生产经营的食品造成或者可能造成公众健康损害的情况和信息，要在2小时内向区市场监管局报告。</w:t>
      </w:r>
    </w:p>
    <w:p w14:paraId="7346EF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发生可能与食品有关的急性群体性健康损害的单位，要在2小时内向区市场监管局、区卫健局报告。</w:t>
      </w:r>
    </w:p>
    <w:p w14:paraId="0364F6F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接收食品安全事故病人治疗的单位，要按照国家卫生健康委有关规定，及时向区市场监管局、区卫健局报告和举报。</w:t>
      </w:r>
    </w:p>
    <w:p w14:paraId="53625F9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食品安全相关技术机构、有关社会团体及个人发现食品安全事故相关情况，及时向所在地县级市场监管部门、卫生健康部门报告和举报。</w:t>
      </w:r>
    </w:p>
    <w:p w14:paraId="7FF99D6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spacing w:val="0"/>
          <w:sz w:val="32"/>
          <w:szCs w:val="32"/>
          <w:lang w:eastAsia="zh-CN"/>
        </w:rPr>
        <w:t>区市场局、区卫健局接收到的食品安全事故信息，需及时上报区食品安全事故应急指挥部</w:t>
      </w:r>
      <w:r>
        <w:rPr>
          <w:rFonts w:hint="eastAsia" w:ascii="仿宋" w:hAnsi="仿宋" w:eastAsia="仿宋" w:cs="仿宋"/>
          <w:color w:val="auto"/>
          <w:spacing w:val="0"/>
          <w:sz w:val="32"/>
          <w:szCs w:val="32"/>
          <w:lang w:eastAsia="zh-CN"/>
        </w:rPr>
        <w:t>、市行业主管部门，并通报区政府相关部门。</w:t>
      </w:r>
    </w:p>
    <w:p w14:paraId="2618AD8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区市场局、区卫健局接到食品安全事故信息，在规定时限内向区政府和市市场监督管理局初次报告信息。报市市场监督管理局的食品安全事故信息要同时或先行向区政府报告。特别重大食品安全事故或特殊情况，必须立即报告。</w:t>
      </w:r>
    </w:p>
    <w:p w14:paraId="1BC5A23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食品安全事故报告分为初报、续报和终报。信息报送、通报形式、时限另有要求的，按有关规定执行。</w:t>
      </w:r>
    </w:p>
    <w:p w14:paraId="07EC8B6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5.报告内容</w:t>
      </w:r>
    </w:p>
    <w:p w14:paraId="18AC67C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报告内容主要包括事发单位、时间、地点、可能涉及范围、伤亡人数、事故报告单位信息（含报告时间、报告单位联系人员及联系方式）、已采取措施、事故简要经过等内容，并随时通报或者补报工作进展。</w:t>
      </w:r>
    </w:p>
    <w:p w14:paraId="2915043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spacing w:val="0"/>
          <w:sz w:val="32"/>
          <w:szCs w:val="32"/>
          <w:lang w:eastAsia="zh-CN"/>
        </w:rPr>
      </w:pPr>
      <w:bookmarkStart w:id="35" w:name="bookmark16"/>
      <w:bookmarkEnd w:id="35"/>
      <w:bookmarkStart w:id="36" w:name="_Toc23050"/>
      <w:r>
        <w:rPr>
          <w:rFonts w:hint="default" w:ascii="Times New Roman" w:hAnsi="Times New Roman" w:eastAsia="黑体" w:cs="Times New Roman"/>
          <w:spacing w:val="0"/>
          <w:sz w:val="32"/>
          <w:szCs w:val="32"/>
          <w:lang w:eastAsia="zh-CN"/>
        </w:rPr>
        <w:t>六、应急处置</w:t>
      </w:r>
      <w:bookmarkEnd w:id="36"/>
    </w:p>
    <w:p w14:paraId="264FBF8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37" w:name="bookmark17"/>
      <w:bookmarkEnd w:id="37"/>
      <w:bookmarkStart w:id="38" w:name="_Toc28064"/>
      <w:r>
        <w:rPr>
          <w:rFonts w:hint="default" w:ascii="Times New Roman" w:hAnsi="Times New Roman" w:eastAsia="楷体" w:cs="Times New Roman"/>
          <w:b w:val="0"/>
          <w:bCs w:val="0"/>
          <w:spacing w:val="0"/>
          <w:sz w:val="32"/>
          <w:szCs w:val="32"/>
          <w:lang w:eastAsia="zh-CN"/>
        </w:rPr>
        <w:t>（一）事故评估</w:t>
      </w:r>
      <w:bookmarkEnd w:id="38"/>
    </w:p>
    <w:p w14:paraId="5C732FB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食品安全事故评估是为核定食品安全事故级别及确定应采取的措施而进行的评估。如为疑似重大以上级别食品安全事故的，区市场局应当及时核实相关信息，并逐级向区政府、市、省市场监督管理部门报告，并提供核实后的信息和资料，由省市场监管部门会同有关部门组织开展食品安全事故评估。</w:t>
      </w:r>
    </w:p>
    <w:p w14:paraId="49FAC75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较大和一般食品安全事故由市、区两级市场监督管理部门按照分级响应规定开展事故评估。评估内容包括：</w:t>
      </w:r>
    </w:p>
    <w:p w14:paraId="34BD329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1.污染食品可能导致的健康损害及所涉及的范围，是否已造成健康损害后果及严重程度；</w:t>
      </w:r>
    </w:p>
    <w:p w14:paraId="594B6FC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2.事故的影响范围及严重程度；</w:t>
      </w:r>
    </w:p>
    <w:p w14:paraId="3E0AF3D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3.事故发展蔓延趋势。</w:t>
      </w:r>
    </w:p>
    <w:p w14:paraId="453A3A5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spacing w:val="0"/>
          <w:sz w:val="32"/>
          <w:szCs w:val="32"/>
          <w:lang w:eastAsia="zh-CN"/>
        </w:rPr>
      </w:pPr>
      <w:bookmarkStart w:id="39" w:name="bookmark18"/>
      <w:bookmarkEnd w:id="39"/>
      <w:bookmarkStart w:id="40" w:name="_Toc3788"/>
      <w:r>
        <w:rPr>
          <w:rFonts w:hint="default" w:ascii="Times New Roman" w:hAnsi="Times New Roman" w:eastAsia="楷体" w:cs="Times New Roman"/>
          <w:b w:val="0"/>
          <w:bCs w:val="0"/>
          <w:spacing w:val="0"/>
          <w:sz w:val="32"/>
          <w:szCs w:val="32"/>
          <w:lang w:eastAsia="zh-CN"/>
        </w:rPr>
        <w:t>（二）先期处置</w:t>
      </w:r>
      <w:bookmarkEnd w:id="40"/>
    </w:p>
    <w:p w14:paraId="65DC889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接到食品安全事故的报告后，区市场局、区应急指挥部其他成员单位根据职责赶赴现场，组织开展先期处置，进行调查核实，采取必要措施防止事态扩大蔓延。</w:t>
      </w:r>
    </w:p>
    <w:p w14:paraId="587043F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评估为较大及以上级别食品安全事故的，区市场局立即逐级上报，提高响应级别。</w:t>
      </w:r>
    </w:p>
    <w:p w14:paraId="65ED6A3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保护现场，采取必要的控制措施，封存可能导致食品安全事故的食品及其原料；封存被污染的食品相关产品，并责令进行清洗消毒；采样检测；对确认属于被污染的食品及其原料，责令生产经营者依法召回或停产停业，防止危害蔓延扩大。</w:t>
      </w:r>
    </w:p>
    <w:p w14:paraId="6011E03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2.组织医疗卫生机构开展医疗救援，积极救治因食品安全事故导致人身伤害的人员。</w:t>
      </w:r>
    </w:p>
    <w:p w14:paraId="28D32B9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3.排查事故原因，对事故现场进行卫生处理，开展流行病学调查，查明原因，及时向同级市场监管、卫生健康部门提交流行病学初步调查报告。</w:t>
      </w:r>
    </w:p>
    <w:p w14:paraId="483D287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4.加强事故现场的治安管理，控制涉嫌犯罪人员。</w:t>
      </w:r>
    </w:p>
    <w:p w14:paraId="6D46FFF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41" w:name="bookmark19"/>
      <w:bookmarkEnd w:id="41"/>
      <w:bookmarkStart w:id="42" w:name="_Toc21037"/>
      <w:r>
        <w:rPr>
          <w:rFonts w:hint="default" w:ascii="Times New Roman" w:hAnsi="Times New Roman" w:eastAsia="楷体" w:cs="Times New Roman"/>
          <w:b w:val="0"/>
          <w:bCs w:val="0"/>
          <w:spacing w:val="0"/>
          <w:sz w:val="32"/>
          <w:szCs w:val="32"/>
          <w:lang w:eastAsia="zh-CN"/>
        </w:rPr>
        <w:t>（三）应急响应原则</w:t>
      </w:r>
      <w:bookmarkEnd w:id="42"/>
    </w:p>
    <w:p w14:paraId="57D6047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特别重大、重大食品安全事故应急响应由省食品安全事故应急指挥部组织实施。</w:t>
      </w:r>
    </w:p>
    <w:p w14:paraId="487708F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较大食品安全事故应急响应由市食品安全事故应急指挥机构组织实施。</w:t>
      </w:r>
    </w:p>
    <w:p w14:paraId="199F2E7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一般食品安全事故应急响应由区食品安全事故应急指挥部组织实施。</w:t>
      </w:r>
    </w:p>
    <w:p w14:paraId="0AC5689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当事故升级或超出区政府应急救援处置能力的，及时报请市政府和市食品安全事故应急指挥机构启动相应的应急预案。</w:t>
      </w:r>
    </w:p>
    <w:p w14:paraId="5249290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43" w:name="bookmark20"/>
      <w:bookmarkEnd w:id="43"/>
      <w:bookmarkStart w:id="44" w:name="_Toc9041"/>
      <w:r>
        <w:rPr>
          <w:rFonts w:hint="default" w:ascii="Times New Roman" w:hAnsi="Times New Roman" w:eastAsia="楷体" w:cs="Times New Roman"/>
          <w:b w:val="0"/>
          <w:bCs w:val="0"/>
          <w:spacing w:val="0"/>
          <w:sz w:val="32"/>
          <w:szCs w:val="32"/>
          <w:lang w:eastAsia="zh-CN"/>
        </w:rPr>
        <w:t>（四）处置措施</w:t>
      </w:r>
      <w:bookmarkEnd w:id="44"/>
    </w:p>
    <w:p w14:paraId="5BB83E7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1.组织医疗机构开展食品安全事故受害人员紧急救治，加强疾病监测，及时发现、报告可疑病例。</w:t>
      </w:r>
    </w:p>
    <w:p w14:paraId="464179A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2.采取必要措施防止或者减轻事件危害，控制事态蔓延。</w:t>
      </w:r>
    </w:p>
    <w:p w14:paraId="58E3EEE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3.开展事故调查，查找事故原因，并提出对责任单位、责任人的处理建议。</w:t>
      </w:r>
    </w:p>
    <w:p w14:paraId="3B4FFBF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4.对涉事食品开展检验检测，组织专家开展评估，提出处置意见和建议。</w:t>
      </w:r>
    </w:p>
    <w:p w14:paraId="0681FE7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5.研判事故发展态势，并向事故可能</w:t>
      </w:r>
      <w:r>
        <w:rPr>
          <w:rFonts w:hint="eastAsia" w:ascii="仿宋" w:hAnsi="仿宋" w:eastAsia="仿宋" w:cs="仿宋"/>
          <w:spacing w:val="0"/>
          <w:sz w:val="32"/>
          <w:szCs w:val="32"/>
          <w:lang w:eastAsia="zh-CN"/>
        </w:rPr>
        <w:t>蔓延</w:t>
      </w:r>
      <w:r>
        <w:rPr>
          <w:rFonts w:hint="default" w:ascii="仿宋" w:hAnsi="仿宋" w:eastAsia="仿宋" w:cs="仿宋"/>
          <w:spacing w:val="0"/>
          <w:sz w:val="32"/>
          <w:szCs w:val="32"/>
          <w:lang w:eastAsia="zh-CN"/>
        </w:rPr>
        <w:t>的地方政府通报信息。食品安全事故可能影响到国（境）外时，应及时协调有关涉外部门做好事故通报等相关工作。</w:t>
      </w:r>
    </w:p>
    <w:p w14:paraId="440CA70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6.做好事故现场的治安管理和稳定工作。</w:t>
      </w:r>
    </w:p>
    <w:p w14:paraId="347072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7.做好信息发布工作，依法对食品安全事故及处理情况进行发布，并对可能产生的危害加以解释说明。正确引导社会舆论，消除社会恐慌。</w:t>
      </w:r>
    </w:p>
    <w:p w14:paraId="58D4A45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8.对需要上级市场监督管理部门支持的，及时上报。</w:t>
      </w:r>
    </w:p>
    <w:p w14:paraId="70B1268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9.及时向市、省市场监管部门和区委、区政府报告相关信息。</w:t>
      </w:r>
    </w:p>
    <w:p w14:paraId="571FADC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仿宋" w:hAnsi="仿宋" w:eastAsia="仿宋" w:cs="仿宋"/>
          <w:spacing w:val="0"/>
          <w:sz w:val="32"/>
          <w:szCs w:val="32"/>
          <w:lang w:eastAsia="zh-CN"/>
        </w:rPr>
        <w:t>10.未达到一般级别的食品安全事故，区政府按有关规定责成有关单位、部门组织开展调查处置工作。</w:t>
      </w:r>
    </w:p>
    <w:p w14:paraId="7559C59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45" w:name="bookmark21"/>
      <w:bookmarkEnd w:id="45"/>
      <w:bookmarkStart w:id="46" w:name="_Toc28225"/>
      <w:r>
        <w:rPr>
          <w:rFonts w:hint="default" w:ascii="Times New Roman" w:hAnsi="Times New Roman" w:eastAsia="楷体" w:cs="Times New Roman"/>
          <w:b w:val="0"/>
          <w:bCs w:val="0"/>
          <w:spacing w:val="0"/>
          <w:sz w:val="32"/>
          <w:szCs w:val="32"/>
          <w:lang w:eastAsia="zh-CN"/>
        </w:rPr>
        <w:t>（五）响应级别调整</w:t>
      </w:r>
      <w:bookmarkEnd w:id="46"/>
    </w:p>
    <w:p w14:paraId="0FFF059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在食品安全事故处置过程中，要遵循事故发生发展的客观规律，结合实际情况和防控工作需要，根据评估结果，及时调整应急响应级别，直至响应终止。</w:t>
      </w:r>
    </w:p>
    <w:p w14:paraId="4585EE2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b/>
          <w:bCs/>
          <w:spacing w:val="0"/>
          <w:sz w:val="32"/>
          <w:szCs w:val="32"/>
          <w:lang w:eastAsia="zh-CN"/>
        </w:rPr>
        <w:t>1.响应级别调整及终止条件</w:t>
      </w:r>
    </w:p>
    <w:p w14:paraId="3E0F5EB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（1）级别提升</w:t>
      </w:r>
    </w:p>
    <w:p w14:paraId="6EB22E1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当事故的影响和危害进一步扩大，并有蔓延趋势，情况复杂难以控制时，应当及时提升响应级别。</w:t>
      </w:r>
    </w:p>
    <w:p w14:paraId="449EC90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当学校或托幼机构、全国性或区域性重要活动期间发生食品安全事故时，可相应提高响应级别，加大应急处置力度，确保迅速、有效控制食品安全事故，维护社会稳定。</w:t>
      </w:r>
    </w:p>
    <w:p w14:paraId="1A92CC8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（2）级别降低</w:t>
      </w:r>
    </w:p>
    <w:p w14:paraId="0CBC958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事故危害得到有效控制，且经研判认为事故危害降低到原级别评估标准以下或无进一步扩散趋势的，可降低应急响应级别。</w:t>
      </w:r>
    </w:p>
    <w:p w14:paraId="39C24BD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（3）响应终止</w:t>
      </w:r>
    </w:p>
    <w:p w14:paraId="6DE550F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当食品安全事故得到控制，并达到以下两项要求，经分析评估认为可解除响应的，应当及时终止响应：</w:t>
      </w:r>
    </w:p>
    <w:p w14:paraId="11604BA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食品安全事故伤病员全部得到救治，患者病情稳定24小时以上，且无新的急性病症患者出现，食源性感染性疾病在末例患者后经过最长潜伏期无新病例出现。</w:t>
      </w:r>
    </w:p>
    <w:p w14:paraId="364429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现场、受污染食品得以有效控制，食品与环境污染得到有效清理并符合相关标准，次生、衍生事故隐患消除。</w:t>
      </w:r>
    </w:p>
    <w:p w14:paraId="6FF3450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spacing w:val="0"/>
          <w:sz w:val="32"/>
          <w:szCs w:val="32"/>
          <w:lang w:eastAsia="zh-CN"/>
        </w:rPr>
      </w:pPr>
      <w:r>
        <w:rPr>
          <w:rFonts w:hint="default" w:ascii="仿宋" w:hAnsi="仿宋" w:eastAsia="仿宋" w:cs="仿宋"/>
          <w:b/>
          <w:bCs/>
          <w:spacing w:val="0"/>
          <w:sz w:val="32"/>
          <w:szCs w:val="32"/>
          <w:lang w:eastAsia="zh-CN"/>
        </w:rPr>
        <w:t>2.响应级别调整及终止程序</w:t>
      </w:r>
    </w:p>
    <w:p w14:paraId="62ACD80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区应急指挥部对事故进行分</w:t>
      </w:r>
      <w:r>
        <w:rPr>
          <w:rFonts w:hint="default" w:ascii="仿宋" w:hAnsi="仿宋" w:eastAsia="仿宋" w:cs="仿宋"/>
          <w:color w:val="auto"/>
          <w:spacing w:val="0"/>
          <w:sz w:val="32"/>
          <w:szCs w:val="32"/>
          <w:lang w:eastAsia="zh-CN"/>
        </w:rPr>
        <w:t>析评估论证。评估认为符合级别调整条件的，提出调整响应级别建议，报</w:t>
      </w:r>
      <w:r>
        <w:rPr>
          <w:rFonts w:hint="eastAsia" w:ascii="仿宋" w:hAnsi="仿宋" w:eastAsia="仿宋" w:cs="仿宋"/>
          <w:color w:val="auto"/>
          <w:spacing w:val="0"/>
          <w:sz w:val="32"/>
          <w:szCs w:val="32"/>
          <w:lang w:eastAsia="zh-CN"/>
        </w:rPr>
        <w:t>区</w:t>
      </w:r>
      <w:r>
        <w:rPr>
          <w:rFonts w:hint="default" w:ascii="仿宋" w:hAnsi="仿宋" w:eastAsia="仿宋" w:cs="仿宋"/>
          <w:color w:val="auto"/>
          <w:spacing w:val="0"/>
          <w:sz w:val="32"/>
          <w:szCs w:val="32"/>
          <w:lang w:eastAsia="zh-CN"/>
        </w:rPr>
        <w:t>政府批准</w:t>
      </w:r>
      <w:r>
        <w:rPr>
          <w:rFonts w:hint="default" w:ascii="仿宋" w:hAnsi="仿宋" w:eastAsia="仿宋" w:cs="仿宋"/>
          <w:spacing w:val="0"/>
          <w:sz w:val="32"/>
          <w:szCs w:val="32"/>
          <w:lang w:eastAsia="zh-CN"/>
        </w:rPr>
        <w:t>后实施并采取相应措施。评估认为符合响应终止条件时，提出终止响应的建议，报区政府批准后实施。</w:t>
      </w:r>
    </w:p>
    <w:p w14:paraId="1BE7F8A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上级政府应急指挥机构指挥的应急响应终止应经过省级指挥机构的批准。</w:t>
      </w:r>
    </w:p>
    <w:p w14:paraId="2D3A16E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spacing w:val="0"/>
          <w:sz w:val="32"/>
          <w:szCs w:val="32"/>
          <w:lang w:eastAsia="zh-CN"/>
        </w:rPr>
      </w:pPr>
      <w:bookmarkStart w:id="47" w:name="bookmark22"/>
      <w:bookmarkEnd w:id="47"/>
      <w:bookmarkStart w:id="48" w:name="_Toc25034"/>
      <w:r>
        <w:rPr>
          <w:rFonts w:hint="default" w:ascii="Times New Roman" w:hAnsi="Times New Roman" w:eastAsia="楷体" w:cs="Times New Roman"/>
          <w:b w:val="0"/>
          <w:bCs w:val="0"/>
          <w:spacing w:val="0"/>
          <w:sz w:val="32"/>
          <w:szCs w:val="32"/>
          <w:lang w:eastAsia="zh-CN"/>
        </w:rPr>
        <w:t>（六）信息发布</w:t>
      </w:r>
      <w:bookmarkEnd w:id="48"/>
    </w:p>
    <w:p w14:paraId="288D4A4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Ⅳ级食品安全事故相关信息由区应急指挥部批准并发布。</w:t>
      </w:r>
    </w:p>
    <w:p w14:paraId="4F68302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Ⅲ级及以上级别食品安全事故相关信息发布由市、省食品安全事故应急指挥机构管理。</w:t>
      </w:r>
    </w:p>
    <w:p w14:paraId="6B0C539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信息发布要及时、准确、客观、全面。</w:t>
      </w:r>
    </w:p>
    <w:p w14:paraId="52F062C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spacing w:val="0"/>
          <w:sz w:val="32"/>
          <w:szCs w:val="32"/>
          <w:lang w:eastAsia="zh-CN"/>
        </w:rPr>
      </w:pPr>
      <w:bookmarkStart w:id="49" w:name="bookmark23"/>
      <w:bookmarkEnd w:id="49"/>
      <w:bookmarkStart w:id="50" w:name="_Toc7126"/>
      <w:r>
        <w:rPr>
          <w:rFonts w:hint="default" w:ascii="Times New Roman" w:hAnsi="Times New Roman" w:eastAsia="黑体" w:cs="Times New Roman"/>
          <w:spacing w:val="0"/>
          <w:sz w:val="32"/>
          <w:szCs w:val="32"/>
          <w:lang w:eastAsia="zh-CN"/>
        </w:rPr>
        <w:t>七、后期处置</w:t>
      </w:r>
      <w:bookmarkEnd w:id="50"/>
    </w:p>
    <w:p w14:paraId="6B0A8E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spacing w:val="0"/>
          <w:sz w:val="32"/>
          <w:szCs w:val="32"/>
          <w:lang w:eastAsia="zh-CN"/>
        </w:rPr>
      </w:pPr>
      <w:bookmarkStart w:id="51" w:name="bookmark24"/>
      <w:bookmarkEnd w:id="51"/>
      <w:bookmarkStart w:id="52" w:name="_Toc15023"/>
      <w:r>
        <w:rPr>
          <w:rFonts w:hint="default" w:ascii="Times New Roman" w:hAnsi="Times New Roman" w:eastAsia="楷体" w:cs="Times New Roman"/>
          <w:b w:val="0"/>
          <w:bCs w:val="0"/>
          <w:spacing w:val="0"/>
          <w:sz w:val="32"/>
          <w:szCs w:val="32"/>
          <w:lang w:eastAsia="zh-CN"/>
        </w:rPr>
        <w:t>（一）善后处理</w:t>
      </w:r>
      <w:bookmarkEnd w:id="52"/>
    </w:p>
    <w:p w14:paraId="0EF8DBE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区政府按照事故等级分级负责组织对食品安全事故的善后处置工作，包括人员安置、补偿，征用物资补偿，污染物收集、清理与处理等事项。尽快消除事故影响，妥善安置和慰问受害和受影响人员，恢复正常生活秩序，保持社会稳定。</w:t>
      </w:r>
    </w:p>
    <w:p w14:paraId="7C17CEC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协调保险机构开展应急救援人员保险受理和参保受灾人员保险理赔工作。</w:t>
      </w:r>
    </w:p>
    <w:p w14:paraId="3863ACA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造成食品安全事故的责任单位和责任人应按有关规定对受害人给予赔偿。</w:t>
      </w:r>
    </w:p>
    <w:p w14:paraId="62E3B49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spacing w:val="0"/>
          <w:sz w:val="32"/>
          <w:szCs w:val="32"/>
          <w:lang w:eastAsia="zh-CN"/>
        </w:rPr>
      </w:pPr>
      <w:bookmarkStart w:id="53" w:name="bookmark25"/>
      <w:bookmarkEnd w:id="53"/>
      <w:bookmarkStart w:id="54" w:name="_Toc5721"/>
      <w:r>
        <w:rPr>
          <w:rFonts w:hint="default" w:ascii="Times New Roman" w:hAnsi="Times New Roman" w:eastAsia="楷体" w:cs="Times New Roman"/>
          <w:b w:val="0"/>
          <w:bCs w:val="0"/>
          <w:spacing w:val="0"/>
          <w:sz w:val="32"/>
          <w:szCs w:val="32"/>
          <w:lang w:eastAsia="zh-CN"/>
        </w:rPr>
        <w:t>（二）总结评估</w:t>
      </w:r>
      <w:bookmarkEnd w:id="54"/>
    </w:p>
    <w:p w14:paraId="549520C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食品安全事故善后处置工作结束后，辖区内各级应急指挥机构应总结分析应急救援经验教训，提出改进应急救援工作的建议，完成应急救援总结报告，报送区政府和区食品安全事故应急指挥部办公室。</w:t>
      </w:r>
      <w:bookmarkStart w:id="55" w:name="bookmark26"/>
      <w:bookmarkEnd w:id="55"/>
    </w:p>
    <w:p w14:paraId="7818985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spacing w:val="0"/>
          <w:sz w:val="32"/>
          <w:szCs w:val="32"/>
          <w:lang w:eastAsia="zh-CN"/>
        </w:rPr>
      </w:pPr>
      <w:bookmarkStart w:id="56" w:name="_Toc15659"/>
      <w:r>
        <w:rPr>
          <w:rFonts w:hint="default" w:ascii="Times New Roman" w:hAnsi="Times New Roman" w:eastAsia="楷体" w:cs="Times New Roman"/>
          <w:b w:val="0"/>
          <w:bCs w:val="0"/>
          <w:spacing w:val="0"/>
          <w:sz w:val="32"/>
          <w:szCs w:val="32"/>
          <w:lang w:eastAsia="zh-CN"/>
        </w:rPr>
        <w:t>（三）奖惩</w:t>
      </w:r>
      <w:bookmarkEnd w:id="56"/>
    </w:p>
    <w:p w14:paraId="629A089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spacing w:val="0"/>
          <w:sz w:val="32"/>
          <w:szCs w:val="32"/>
          <w:lang w:eastAsia="zh-CN"/>
        </w:rPr>
      </w:pPr>
      <w:r>
        <w:rPr>
          <w:rFonts w:hint="eastAsia" w:ascii="仿宋" w:hAnsi="仿宋" w:eastAsia="仿宋" w:cs="仿宋"/>
          <w:b/>
          <w:bCs/>
          <w:spacing w:val="0"/>
          <w:sz w:val="32"/>
          <w:szCs w:val="32"/>
          <w:lang w:eastAsia="zh-CN"/>
        </w:rPr>
        <w:t>1.奖励</w:t>
      </w:r>
    </w:p>
    <w:p w14:paraId="4A487CC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对在食品安全事故应急处置工作中作出突出贡献的先进集体和个人，按有关规定给予表彰和奖励。</w:t>
      </w:r>
    </w:p>
    <w:p w14:paraId="59E76B5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b/>
          <w:bCs/>
          <w:spacing w:val="0"/>
          <w:sz w:val="32"/>
          <w:szCs w:val="32"/>
          <w:lang w:eastAsia="zh-CN"/>
        </w:rPr>
        <w:t>2.责任追究</w:t>
      </w:r>
    </w:p>
    <w:p w14:paraId="1E0D669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对隐瞒、缓报、谎报食品安全事故，或者在食品安全事故预防、报告、通报、调查、控制和处理等处置过程中有玩忽职守、失职、渎职等行为的，根据有关规定，依规依纪依法追究有关责任单位或责任人的责任。</w:t>
      </w:r>
    </w:p>
    <w:p w14:paraId="03253FA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spacing w:val="0"/>
          <w:sz w:val="32"/>
          <w:szCs w:val="32"/>
        </w:rPr>
      </w:pPr>
      <w:bookmarkStart w:id="57" w:name="bookmark27"/>
      <w:bookmarkEnd w:id="57"/>
      <w:bookmarkStart w:id="58" w:name="_Toc13305"/>
      <w:r>
        <w:rPr>
          <w:rFonts w:hint="default" w:ascii="Times New Roman" w:hAnsi="Times New Roman" w:eastAsia="黑体" w:cs="Times New Roman"/>
          <w:spacing w:val="0"/>
          <w:sz w:val="32"/>
          <w:szCs w:val="32"/>
          <w:lang w:eastAsia="zh-CN"/>
        </w:rPr>
        <w:t>八</w:t>
      </w:r>
      <w:r>
        <w:rPr>
          <w:rFonts w:hint="default" w:ascii="Times New Roman" w:hAnsi="Times New Roman" w:eastAsia="黑体" w:cs="Times New Roman"/>
          <w:spacing w:val="0"/>
          <w:sz w:val="32"/>
          <w:szCs w:val="32"/>
        </w:rPr>
        <w:t>、保障措施</w:t>
      </w:r>
      <w:bookmarkEnd w:id="58"/>
    </w:p>
    <w:p w14:paraId="4707446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spacing w:val="0"/>
          <w:sz w:val="32"/>
          <w:szCs w:val="32"/>
          <w:lang w:eastAsia="zh-CN"/>
        </w:rPr>
      </w:pPr>
      <w:bookmarkStart w:id="59" w:name="bookmark28"/>
      <w:bookmarkEnd w:id="59"/>
      <w:bookmarkStart w:id="60" w:name="_Toc944"/>
      <w:r>
        <w:rPr>
          <w:rFonts w:hint="default" w:ascii="Times New Roman" w:hAnsi="Times New Roman" w:eastAsia="楷体" w:cs="Times New Roman"/>
          <w:b w:val="0"/>
          <w:bCs w:val="0"/>
          <w:spacing w:val="0"/>
          <w:sz w:val="32"/>
          <w:szCs w:val="32"/>
          <w:lang w:eastAsia="zh-CN"/>
        </w:rPr>
        <w:t>（一）信息保障</w:t>
      </w:r>
      <w:bookmarkEnd w:id="60"/>
    </w:p>
    <w:p w14:paraId="7CD8FF3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val="en-US" w:eastAsia="zh-CN"/>
        </w:rPr>
        <w:t>按照</w:t>
      </w:r>
      <w:r>
        <w:rPr>
          <w:rFonts w:hint="eastAsia" w:ascii="仿宋" w:hAnsi="仿宋" w:eastAsia="仿宋" w:cs="仿宋"/>
          <w:color w:val="auto"/>
          <w:spacing w:val="0"/>
          <w:sz w:val="32"/>
          <w:szCs w:val="32"/>
          <w:highlight w:val="none"/>
          <w:lang w:eastAsia="zh-CN"/>
        </w:rPr>
        <w:t>省市场监管部门会同省卫生健康委等相关部门建立食品安全事故信息监测报告制度，建立健全食品安全信息网络，加强信息共享。</w:t>
      </w:r>
    </w:p>
    <w:p w14:paraId="2BC4986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有关部门应当设立信息报告和举报电话，畅通信息报告渠道，确保食品安全事故的及时报告与相关信息的及时收集。</w:t>
      </w:r>
    </w:p>
    <w:p w14:paraId="3016BD8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61" w:name="bookmark29"/>
      <w:bookmarkEnd w:id="61"/>
      <w:bookmarkStart w:id="62" w:name="_Toc22101"/>
      <w:r>
        <w:rPr>
          <w:rFonts w:hint="default" w:ascii="Times New Roman" w:hAnsi="Times New Roman" w:eastAsia="楷体" w:cs="Times New Roman"/>
          <w:b w:val="0"/>
          <w:bCs w:val="0"/>
          <w:spacing w:val="0"/>
          <w:sz w:val="32"/>
          <w:szCs w:val="32"/>
          <w:lang w:eastAsia="zh-CN"/>
        </w:rPr>
        <w:t>（二）医疗保障</w:t>
      </w:r>
      <w:bookmarkEnd w:id="62"/>
    </w:p>
    <w:p w14:paraId="7372647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食品安全事故造成人员伤害的，卫生系统启动应急救援工作，立即赶赴现场，开展医疗救治工作。</w:t>
      </w:r>
    </w:p>
    <w:p w14:paraId="0684594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spacing w:val="0"/>
          <w:sz w:val="32"/>
          <w:szCs w:val="32"/>
          <w:lang w:eastAsia="zh-CN"/>
        </w:rPr>
      </w:pPr>
      <w:bookmarkStart w:id="63" w:name="bookmark30"/>
      <w:bookmarkEnd w:id="63"/>
      <w:bookmarkStart w:id="64" w:name="_Toc15991"/>
      <w:r>
        <w:rPr>
          <w:rFonts w:hint="default" w:ascii="Times New Roman" w:hAnsi="Times New Roman" w:eastAsia="楷体" w:cs="Times New Roman"/>
          <w:b w:val="0"/>
          <w:bCs w:val="0"/>
          <w:spacing w:val="0"/>
          <w:sz w:val="32"/>
          <w:szCs w:val="32"/>
          <w:lang w:eastAsia="zh-CN"/>
        </w:rPr>
        <w:t>（三）人员保障</w:t>
      </w:r>
      <w:bookmarkEnd w:id="64"/>
    </w:p>
    <w:p w14:paraId="1E62005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区市场局按照市市场监督管理局的要求定期组织专业技术人员食品安全事故应急处置能力培训，加强应急处置力量建设，提高快速应对能力和技术水平。</w:t>
      </w:r>
    </w:p>
    <w:p w14:paraId="30B3D3A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健全专家队伍，为事故核实、级别核定、事故隐患预警及应急响应等相关技术工作提供人才保障。</w:t>
      </w:r>
    </w:p>
    <w:p w14:paraId="7DCAD95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65" w:name="bookmark31"/>
      <w:bookmarkEnd w:id="65"/>
      <w:bookmarkStart w:id="66" w:name="_Toc13711"/>
      <w:r>
        <w:rPr>
          <w:rFonts w:hint="default" w:ascii="Times New Roman" w:hAnsi="Times New Roman" w:eastAsia="楷体" w:cs="Times New Roman"/>
          <w:b w:val="0"/>
          <w:bCs w:val="0"/>
          <w:spacing w:val="0"/>
          <w:sz w:val="32"/>
          <w:szCs w:val="32"/>
          <w:lang w:eastAsia="zh-CN"/>
        </w:rPr>
        <w:t>（四）技术保障</w:t>
      </w:r>
      <w:bookmarkEnd w:id="66"/>
    </w:p>
    <w:p w14:paraId="6A02047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食品安全事故的技术鉴定工作必须由有资质的检测机构承担，负责采集样本，按有关标准要求实施检测，为食品安全事故定性提供科学依据。</w:t>
      </w:r>
    </w:p>
    <w:p w14:paraId="6A71A23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67" w:name="bookmark32"/>
      <w:bookmarkEnd w:id="67"/>
      <w:bookmarkStart w:id="68" w:name="_Toc4793"/>
      <w:r>
        <w:rPr>
          <w:rFonts w:hint="default" w:ascii="Times New Roman" w:hAnsi="Times New Roman" w:eastAsia="楷体" w:cs="Times New Roman"/>
          <w:b w:val="0"/>
          <w:bCs w:val="0"/>
          <w:spacing w:val="0"/>
          <w:sz w:val="32"/>
          <w:szCs w:val="32"/>
          <w:lang w:eastAsia="zh-CN"/>
        </w:rPr>
        <w:t>（五）物资和经费保障</w:t>
      </w:r>
      <w:bookmarkEnd w:id="68"/>
    </w:p>
    <w:p w14:paraId="246819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区政府应保证食品安全事故应急处置所需设施、设备和物资的储备与调用；使用储备物资后须及时补充；食品安全事故应急处置、产品抽样及检验等所需经费应当列入财政预算，保障应急资金。</w:t>
      </w:r>
    </w:p>
    <w:p w14:paraId="48ACEC1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69" w:name="bookmark33"/>
      <w:bookmarkEnd w:id="69"/>
      <w:bookmarkStart w:id="70" w:name="_Toc279"/>
      <w:r>
        <w:rPr>
          <w:rFonts w:hint="default" w:ascii="Times New Roman" w:hAnsi="Times New Roman" w:eastAsia="楷体" w:cs="Times New Roman"/>
          <w:b w:val="0"/>
          <w:bCs w:val="0"/>
          <w:spacing w:val="0"/>
          <w:sz w:val="32"/>
          <w:szCs w:val="32"/>
          <w:lang w:eastAsia="zh-CN"/>
        </w:rPr>
        <w:t>（六）社会动员保障</w:t>
      </w:r>
      <w:bookmarkEnd w:id="70"/>
    </w:p>
    <w:p w14:paraId="2CE91E3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根据食品安全事故应急处置的需要，动员和组织社会力量协助参与应急处置，必要时依法调用企业及个人物资。在动用社会力量或企业、个人物资进行应急处置后，应当及时归还或给予补偿。</w:t>
      </w:r>
    </w:p>
    <w:p w14:paraId="06382BB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spacing w:val="0"/>
          <w:sz w:val="32"/>
          <w:szCs w:val="32"/>
          <w:lang w:eastAsia="zh-CN"/>
        </w:rPr>
      </w:pPr>
      <w:bookmarkStart w:id="71" w:name="bookmark34"/>
      <w:bookmarkEnd w:id="71"/>
      <w:bookmarkStart w:id="72" w:name="bookmark35"/>
      <w:bookmarkEnd w:id="72"/>
      <w:bookmarkStart w:id="73" w:name="_Toc31962"/>
      <w:r>
        <w:rPr>
          <w:rFonts w:hint="default" w:ascii="Times New Roman" w:hAnsi="Times New Roman" w:eastAsia="黑体" w:cs="Times New Roman"/>
          <w:spacing w:val="0"/>
          <w:sz w:val="32"/>
          <w:szCs w:val="32"/>
          <w:lang w:eastAsia="zh-CN"/>
        </w:rPr>
        <w:t>九、监督管理</w:t>
      </w:r>
      <w:bookmarkEnd w:id="73"/>
    </w:p>
    <w:p w14:paraId="33F21D9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spacing w:val="0"/>
          <w:sz w:val="32"/>
          <w:szCs w:val="32"/>
          <w:lang w:eastAsia="zh-CN"/>
        </w:rPr>
      </w:pPr>
      <w:bookmarkStart w:id="74" w:name="bookmark43"/>
      <w:bookmarkEnd w:id="74"/>
      <w:bookmarkStart w:id="75" w:name="_Toc27560"/>
      <w:r>
        <w:rPr>
          <w:rFonts w:hint="default" w:ascii="Times New Roman" w:hAnsi="Times New Roman" w:eastAsia="楷体" w:cs="Times New Roman"/>
          <w:b w:val="0"/>
          <w:bCs w:val="0"/>
          <w:spacing w:val="0"/>
          <w:sz w:val="32"/>
          <w:szCs w:val="32"/>
          <w:lang w:eastAsia="zh-CN"/>
        </w:rPr>
        <w:t>（一）预案编制</w:t>
      </w:r>
      <w:bookmarkEnd w:id="75"/>
    </w:p>
    <w:p w14:paraId="6A660B5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本预案由区市场局组织编制，经区政府审议后，由区政府办公室印发执行。</w:t>
      </w:r>
    </w:p>
    <w:p w14:paraId="67CDC82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76" w:name="bookmark36"/>
      <w:bookmarkEnd w:id="76"/>
      <w:bookmarkStart w:id="77" w:name="_Toc5355"/>
      <w:r>
        <w:rPr>
          <w:rFonts w:hint="default" w:ascii="Times New Roman" w:hAnsi="Times New Roman" w:eastAsia="楷体" w:cs="Times New Roman"/>
          <w:b w:val="0"/>
          <w:bCs w:val="0"/>
          <w:spacing w:val="0"/>
          <w:sz w:val="32"/>
          <w:szCs w:val="32"/>
          <w:lang w:eastAsia="zh-CN"/>
        </w:rPr>
        <w:t>（二）预案演练</w:t>
      </w:r>
      <w:bookmarkEnd w:id="77"/>
    </w:p>
    <w:p w14:paraId="5C840E7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区食品安全事故应急指挥部办公室会同区有关部门指导全区食品安全事故的应急救援演习演练工作。组织全区性特别重大、重大食品安全事故的应急演习演练，检验和强化应急准备、协调应急响应能力，并对演习结果进行总结和评估，进一步完善应急预案。</w:t>
      </w:r>
    </w:p>
    <w:p w14:paraId="512C52C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各街道办事处及有关部门要按照“统一规划、分类实施，分级负责、突出重点、适应需求”的原则，采取定期和不定期相结合形式。组织开展食品</w:t>
      </w:r>
      <w:r>
        <w:rPr>
          <w:rFonts w:hint="eastAsia" w:ascii="仿宋" w:hAnsi="仿宋" w:eastAsia="仿宋" w:cs="仿宋"/>
          <w:spacing w:val="0"/>
          <w:sz w:val="32"/>
          <w:szCs w:val="32"/>
          <w:lang w:eastAsia="zh-CN"/>
        </w:rPr>
        <w:t>安全事故</w:t>
      </w:r>
      <w:r>
        <w:rPr>
          <w:rFonts w:hint="default" w:ascii="仿宋" w:hAnsi="仿宋" w:eastAsia="仿宋" w:cs="仿宋"/>
          <w:spacing w:val="0"/>
          <w:sz w:val="32"/>
          <w:szCs w:val="32"/>
          <w:lang w:eastAsia="zh-CN"/>
        </w:rPr>
        <w:t>应急演习演练。</w:t>
      </w:r>
    </w:p>
    <w:p w14:paraId="2C6FC0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仿宋" w:hAnsi="仿宋" w:eastAsia="仿宋" w:cs="仿宋"/>
          <w:spacing w:val="0"/>
          <w:sz w:val="32"/>
          <w:szCs w:val="32"/>
          <w:lang w:eastAsia="zh-CN"/>
        </w:rPr>
        <w:t>有关企事业单位应当根据自身特点，定期或不定期组织本单位的应急救援演习演练。</w:t>
      </w:r>
    </w:p>
    <w:p w14:paraId="563EC14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78" w:name="bookmark37"/>
      <w:bookmarkEnd w:id="78"/>
      <w:bookmarkStart w:id="79" w:name="_Toc9290"/>
      <w:r>
        <w:rPr>
          <w:rFonts w:hint="default" w:ascii="Times New Roman" w:hAnsi="Times New Roman" w:eastAsia="楷体" w:cs="Times New Roman"/>
          <w:b w:val="0"/>
          <w:bCs w:val="0"/>
          <w:spacing w:val="0"/>
          <w:sz w:val="32"/>
          <w:szCs w:val="32"/>
          <w:lang w:eastAsia="zh-CN"/>
        </w:rPr>
        <w:t>（三）宣传教育培训</w:t>
      </w:r>
      <w:bookmarkEnd w:id="79"/>
    </w:p>
    <w:p w14:paraId="4088946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1.相关部门及单位应当对广大消费者加强食品安全知识的教育，增强消费者的风险和责任意识，正确引导消费。</w:t>
      </w:r>
    </w:p>
    <w:p w14:paraId="52B14F2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2.食品安全事故应急处置培训工作采取分级负责的原则，由相关部门及单位负责组织实施。</w:t>
      </w:r>
    </w:p>
    <w:p w14:paraId="7736D6B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80" w:name="bookmark38"/>
      <w:bookmarkEnd w:id="80"/>
      <w:bookmarkStart w:id="81" w:name="_Toc20517"/>
      <w:r>
        <w:rPr>
          <w:rFonts w:hint="default" w:ascii="Times New Roman" w:hAnsi="Times New Roman" w:eastAsia="楷体" w:cs="Times New Roman"/>
          <w:b w:val="0"/>
          <w:bCs w:val="0"/>
          <w:spacing w:val="0"/>
          <w:sz w:val="32"/>
          <w:szCs w:val="32"/>
          <w:lang w:eastAsia="zh-CN"/>
        </w:rPr>
        <w:t>（四）预案更新</w:t>
      </w:r>
      <w:bookmarkEnd w:id="81"/>
    </w:p>
    <w:p w14:paraId="0DD94B1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区市场局应当建立定期评估制度，分析评价本预案内容的针对性、实用性和可操作性，实现应急预案的动态优化和科学规范管理。</w:t>
      </w:r>
    </w:p>
    <w:p w14:paraId="64223B7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有下列情形之一的，及时修订：</w:t>
      </w:r>
    </w:p>
    <w:p w14:paraId="1050587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1.有关法律、行政法规、规章、标准、上位预案中的有关规定发生变化的；</w:t>
      </w:r>
    </w:p>
    <w:p w14:paraId="755DA57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2.应急指挥机构及其职责发生重大调整的；</w:t>
      </w:r>
    </w:p>
    <w:p w14:paraId="24A1ABD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3.面临的风险发生重大变化的；</w:t>
      </w:r>
    </w:p>
    <w:p w14:paraId="6949EFE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4.重要应急资源发生重大变化的；</w:t>
      </w:r>
    </w:p>
    <w:p w14:paraId="548575D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5.预案中的其他重要信息发生变化的；</w:t>
      </w:r>
    </w:p>
    <w:p w14:paraId="1F069BC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6.在突发事件实际应对和应急演练中发现问题需要做出重大调整的；</w:t>
      </w:r>
    </w:p>
    <w:p w14:paraId="5B93505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仿宋" w:hAnsi="仿宋" w:eastAsia="仿宋" w:cs="仿宋"/>
          <w:spacing w:val="0"/>
          <w:sz w:val="32"/>
          <w:szCs w:val="32"/>
          <w:lang w:eastAsia="zh-CN"/>
        </w:rPr>
        <w:t>7.应急预案制定单位认为应当修订的其他情况。</w:t>
      </w:r>
    </w:p>
    <w:p w14:paraId="3D7D65F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spacing w:val="0"/>
          <w:sz w:val="32"/>
          <w:szCs w:val="32"/>
          <w:lang w:eastAsia="zh-CN"/>
        </w:rPr>
      </w:pPr>
      <w:bookmarkStart w:id="82" w:name="bookmark39"/>
      <w:bookmarkEnd w:id="82"/>
      <w:bookmarkStart w:id="83" w:name="_Toc3165"/>
      <w:r>
        <w:rPr>
          <w:rFonts w:hint="default" w:ascii="Times New Roman" w:hAnsi="Times New Roman" w:eastAsia="楷体" w:cs="Times New Roman"/>
          <w:b w:val="0"/>
          <w:bCs w:val="0"/>
          <w:spacing w:val="0"/>
          <w:sz w:val="32"/>
          <w:szCs w:val="32"/>
          <w:lang w:eastAsia="zh-CN"/>
        </w:rPr>
        <w:t>（五）预案起始时间</w:t>
      </w:r>
      <w:bookmarkEnd w:id="83"/>
    </w:p>
    <w:p w14:paraId="0EBE224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本预案经区政府审议、批准，自印发之日起生效。</w:t>
      </w:r>
    </w:p>
    <w:p w14:paraId="2F34E9D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spacing w:val="0"/>
          <w:sz w:val="32"/>
          <w:szCs w:val="32"/>
          <w:lang w:eastAsia="zh-CN"/>
        </w:rPr>
      </w:pPr>
      <w:bookmarkStart w:id="84" w:name="bookmark40"/>
      <w:bookmarkEnd w:id="84"/>
      <w:bookmarkStart w:id="85" w:name="_Toc28490"/>
      <w:r>
        <w:rPr>
          <w:rFonts w:hint="default" w:ascii="Times New Roman" w:hAnsi="Times New Roman" w:eastAsia="黑体" w:cs="Times New Roman"/>
          <w:spacing w:val="0"/>
          <w:sz w:val="32"/>
          <w:szCs w:val="32"/>
          <w:lang w:eastAsia="zh-CN"/>
        </w:rPr>
        <w:t>十、名词术语</w:t>
      </w:r>
      <w:bookmarkEnd w:id="85"/>
    </w:p>
    <w:p w14:paraId="1BFA8E0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eastAsia="zh-CN"/>
        </w:rPr>
        <w:t>1.</w:t>
      </w:r>
      <w:r>
        <w:rPr>
          <w:rFonts w:hint="eastAsia" w:ascii="仿宋" w:hAnsi="仿宋" w:eastAsia="仿宋" w:cs="仿宋"/>
          <w:b/>
          <w:bCs/>
          <w:spacing w:val="0"/>
          <w:sz w:val="32"/>
          <w:szCs w:val="32"/>
          <w:lang w:eastAsia="zh-CN"/>
        </w:rPr>
        <w:t>食品安全事故：</w:t>
      </w:r>
      <w:r>
        <w:rPr>
          <w:rFonts w:hint="eastAsia" w:ascii="仿宋" w:hAnsi="仿宋" w:eastAsia="仿宋" w:cs="仿宋"/>
          <w:spacing w:val="0"/>
          <w:sz w:val="32"/>
          <w:szCs w:val="32"/>
          <w:lang w:eastAsia="zh-CN"/>
        </w:rPr>
        <w:t>指食源性疾病、食品污染等源于食品，对人体健康有危害或者可能有危害的事故。</w:t>
      </w:r>
    </w:p>
    <w:p w14:paraId="7626941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pacing w:val="0"/>
          <w:sz w:val="32"/>
          <w:szCs w:val="32"/>
          <w:lang w:eastAsia="zh-CN"/>
        </w:rPr>
      </w:pPr>
      <w:r>
        <w:rPr>
          <w:rFonts w:hint="default" w:ascii="仿宋" w:hAnsi="仿宋" w:eastAsia="仿宋" w:cs="仿宋"/>
          <w:spacing w:val="0"/>
          <w:sz w:val="32"/>
          <w:szCs w:val="32"/>
          <w:lang w:eastAsia="zh-CN"/>
        </w:rPr>
        <w:t>2.</w:t>
      </w:r>
      <w:r>
        <w:rPr>
          <w:rFonts w:hint="default" w:ascii="仿宋" w:hAnsi="仿宋" w:eastAsia="仿宋" w:cs="仿宋"/>
          <w:b/>
          <w:bCs/>
          <w:spacing w:val="0"/>
          <w:sz w:val="32"/>
          <w:szCs w:val="32"/>
          <w:lang w:eastAsia="zh-CN"/>
        </w:rPr>
        <w:t>食源性疾病</w:t>
      </w:r>
      <w:r>
        <w:rPr>
          <w:rFonts w:hint="eastAsia" w:ascii="仿宋" w:hAnsi="仿宋" w:eastAsia="仿宋" w:cs="仿宋"/>
          <w:b/>
          <w:bCs/>
          <w:spacing w:val="0"/>
          <w:sz w:val="32"/>
          <w:szCs w:val="32"/>
          <w:lang w:eastAsia="zh-CN"/>
        </w:rPr>
        <w:t>：</w:t>
      </w:r>
      <w:r>
        <w:rPr>
          <w:rFonts w:hint="default" w:ascii="仿宋" w:hAnsi="仿宋" w:eastAsia="仿宋" w:cs="仿宋"/>
          <w:spacing w:val="0"/>
          <w:sz w:val="32"/>
          <w:szCs w:val="32"/>
          <w:lang w:eastAsia="zh-CN"/>
        </w:rPr>
        <w:t>指食品中致病因素进入人体引起的感染性、中毒性等疾病，包括食物中毒。</w:t>
      </w:r>
    </w:p>
    <w:p w14:paraId="23CE9A3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spacing w:val="0"/>
          <w:sz w:val="32"/>
          <w:szCs w:val="32"/>
          <w:lang w:eastAsia="zh-CN"/>
        </w:rPr>
      </w:pPr>
      <w:bookmarkStart w:id="86" w:name="bookmark41"/>
      <w:bookmarkEnd w:id="86"/>
      <w:bookmarkStart w:id="87" w:name="_Toc6564"/>
      <w:bookmarkStart w:id="88" w:name="_Toc15091"/>
      <w:bookmarkStart w:id="89" w:name="_Toc24583"/>
      <w:r>
        <w:rPr>
          <w:rFonts w:hint="eastAsia" w:ascii="Times New Roman" w:hAnsi="Times New Roman" w:eastAsia="黑体" w:cs="Times New Roman"/>
          <w:spacing w:val="0"/>
          <w:sz w:val="32"/>
          <w:szCs w:val="32"/>
          <w:lang w:eastAsia="zh-CN"/>
        </w:rPr>
        <w:t>十一、附件</w:t>
      </w:r>
      <w:bookmarkEnd w:id="87"/>
      <w:bookmarkEnd w:id="88"/>
      <w:bookmarkEnd w:id="89"/>
    </w:p>
    <w:p w14:paraId="34872FD1">
      <w:pPr>
        <w:pStyle w:val="17"/>
        <w:keepNext w:val="0"/>
        <w:keepLines w:val="0"/>
        <w:pageBreakBefore w:val="0"/>
        <w:widowControl w:val="0"/>
        <w:kinsoku/>
        <w:wordWrap/>
        <w:overflowPunct/>
        <w:topLinePunct w:val="0"/>
        <w:autoSpaceDE w:val="0"/>
        <w:autoSpaceDN w:val="0"/>
        <w:bidi w:val="0"/>
        <w:adjustRightInd w:val="0"/>
        <w:snapToGrid w:val="0"/>
        <w:spacing w:before="0" w:line="560" w:lineRule="exact"/>
        <w:textAlignment w:val="baseline"/>
        <w:rPr>
          <w:rFonts w:hint="eastAsia" w:ascii="仿宋" w:hAnsi="仿宋" w:eastAsia="仿宋" w:cs="仿宋"/>
          <w:b w:val="0"/>
          <w:bCs w:val="0"/>
          <w:spacing w:val="0"/>
          <w:sz w:val="32"/>
          <w:szCs w:val="32"/>
          <w:lang w:val="zh-CN" w:eastAsia="zh-CN" w:bidi="zh-CN"/>
        </w:rPr>
        <w:sectPr>
          <w:footerReference r:id="rId4" w:type="default"/>
          <w:pgSz w:w="11910" w:h="16840"/>
          <w:pgMar w:top="1540" w:right="1340" w:bottom="1320" w:left="1480" w:header="0" w:footer="1135" w:gutter="0"/>
          <w:pgNumType w:fmt="decimal" w:start="1"/>
          <w:cols w:space="720" w:num="1"/>
        </w:sectPr>
      </w:pPr>
      <w:bookmarkStart w:id="90" w:name="_Toc12449"/>
      <w:r>
        <w:rPr>
          <w:rFonts w:hint="eastAsia" w:ascii="仿宋" w:hAnsi="仿宋" w:eastAsia="仿宋" w:cs="仿宋"/>
          <w:b w:val="0"/>
          <w:bCs w:val="0"/>
          <w:spacing w:val="0"/>
          <w:sz w:val="32"/>
          <w:szCs w:val="32"/>
          <w:lang w:eastAsia="zh-CN"/>
        </w:rPr>
        <w:t>附件：</w:t>
      </w:r>
      <w:bookmarkEnd w:id="90"/>
      <w:r>
        <w:rPr>
          <w:rFonts w:hint="eastAsia" w:ascii="仿宋" w:hAnsi="仿宋" w:eastAsia="仿宋" w:cs="仿宋"/>
          <w:b w:val="0"/>
          <w:bCs w:val="0"/>
          <w:spacing w:val="0"/>
          <w:sz w:val="32"/>
          <w:szCs w:val="32"/>
          <w:lang w:val="zh-CN" w:eastAsia="zh-CN" w:bidi="zh-CN"/>
        </w:rPr>
        <w:t>风险分级管控及评价方法</w:t>
      </w:r>
    </w:p>
    <w:p w14:paraId="702DA04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spacing w:val="0"/>
          <w:sz w:val="32"/>
          <w:szCs w:val="32"/>
          <w:lang w:val="en-US" w:eastAsia="zh-CN" w:bidi="zh-CN"/>
        </w:rPr>
      </w:pPr>
      <w:bookmarkStart w:id="91" w:name="_Toc15518"/>
      <w:bookmarkStart w:id="92" w:name="_Toc2326"/>
      <w:r>
        <w:rPr>
          <w:rFonts w:hint="eastAsia" w:ascii="黑体" w:hAnsi="黑体" w:eastAsia="黑体" w:cs="黑体"/>
          <w:spacing w:val="0"/>
          <w:sz w:val="32"/>
          <w:szCs w:val="32"/>
          <w:lang w:val="en-US" w:eastAsia="zh-CN" w:bidi="zh-CN"/>
        </w:rPr>
        <w:t>附件</w:t>
      </w:r>
      <w:bookmarkEnd w:id="91"/>
      <w:bookmarkEnd w:id="92"/>
    </w:p>
    <w:p w14:paraId="09228A3B">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spacing w:val="0"/>
          <w:sz w:val="32"/>
          <w:szCs w:val="32"/>
          <w:lang w:val="zh-CN" w:eastAsia="zh-CN" w:bidi="zh-CN"/>
        </w:rPr>
      </w:pPr>
    </w:p>
    <w:p w14:paraId="297B6CEC">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bookmarkStart w:id="93" w:name="_Toc8198"/>
      <w:bookmarkStart w:id="94" w:name="_Toc23571"/>
      <w:r>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t>风险分级管控及评价方法</w:t>
      </w:r>
      <w:bookmarkEnd w:id="93"/>
      <w:bookmarkEnd w:id="94"/>
    </w:p>
    <w:p w14:paraId="5505CB01">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000000"/>
          <w:spacing w:val="0"/>
          <w:sz w:val="44"/>
          <w:szCs w:val="44"/>
          <w:lang w:val="en-US" w:eastAsia="zh-CN" w:bidi="ar-SA"/>
        </w:rPr>
      </w:pPr>
    </w:p>
    <w:p w14:paraId="1C5AF3B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LS法安全风险评价判定准则</w:t>
      </w:r>
    </w:p>
    <w:p w14:paraId="6E7F78D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1.风险矩阵法的主要内容是：</w:t>
      </w:r>
      <w:r>
        <w:rPr>
          <w:rFonts w:hint="eastAsia" w:ascii="仿宋" w:hAnsi="仿宋" w:eastAsia="仿宋" w:cs="仿宋"/>
          <w:sz w:val="32"/>
          <w:szCs w:val="32"/>
          <w:lang w:val="zh-CN" w:eastAsia="zh-CN" w:bidi="zh-CN"/>
        </w:rPr>
        <w:t>识别出存在的风险，分析和评价风险事件发生的可能性和后果，二者相乘，得出风险的风险值，确定风险级别，进而决定应当采取的风险控制措施。</w:t>
      </w:r>
    </w:p>
    <w:p w14:paraId="7093CE3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数学表达式为：R=L×S，其中，</w:t>
      </w:r>
    </w:p>
    <w:p w14:paraId="35C88A5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R代表风险值；</w:t>
      </w:r>
    </w:p>
    <w:p w14:paraId="1599CF1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L代表风险事件发生可能性；</w:t>
      </w:r>
    </w:p>
    <w:p w14:paraId="3BFFDFE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S代表风险事件后果严重程度。</w:t>
      </w:r>
    </w:p>
    <w:p w14:paraId="235FF22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2.风险事件发生可能性（L）取值</w:t>
      </w:r>
    </w:p>
    <w:p w14:paraId="6F3926E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针对识别出的风险，对照风险事件发生的可能性，取其最大值作为最终L值，即满足若干条件之一时就取对应的L值，而无需满足所有条件。对照过程中，涉及到资料的，要见证到具体名称和条款；涉及到人员的，要具体到所有参与者。</w:t>
      </w:r>
    </w:p>
    <w:p w14:paraId="03040DF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事件发生的可能性（L）用事件发生的概率表示，取值如下表所示：</w:t>
      </w:r>
    </w:p>
    <w:p w14:paraId="4E5B6A4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1870545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风险事件发生可能性（L）参考取值表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1034"/>
        <w:gridCol w:w="1553"/>
        <w:gridCol w:w="1648"/>
        <w:gridCol w:w="2359"/>
        <w:gridCol w:w="1444"/>
      </w:tblGrid>
      <w:tr w14:paraId="001756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tcW w:w="464" w:type="dxa"/>
            <w:shd w:val="clear" w:color="auto" w:fill="auto"/>
            <w:vAlign w:val="center"/>
          </w:tcPr>
          <w:p w14:paraId="3A56A3A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w:t>
            </w:r>
          </w:p>
        </w:tc>
        <w:tc>
          <w:tcPr>
            <w:tcW w:w="1034" w:type="dxa"/>
            <w:shd w:val="clear" w:color="auto" w:fill="auto"/>
            <w:vAlign w:val="center"/>
          </w:tcPr>
          <w:p w14:paraId="522ABBE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参考频率</w:t>
            </w:r>
          </w:p>
        </w:tc>
        <w:tc>
          <w:tcPr>
            <w:tcW w:w="1553" w:type="dxa"/>
            <w:shd w:val="clear" w:color="auto" w:fill="auto"/>
            <w:vAlign w:val="center"/>
          </w:tcPr>
          <w:p w14:paraId="061858D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人员情况</w:t>
            </w:r>
          </w:p>
        </w:tc>
        <w:tc>
          <w:tcPr>
            <w:tcW w:w="1648" w:type="dxa"/>
            <w:shd w:val="clear" w:color="auto" w:fill="auto"/>
            <w:vAlign w:val="center"/>
          </w:tcPr>
          <w:p w14:paraId="2AFF223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设备设施、工器具及材料</w:t>
            </w:r>
          </w:p>
        </w:tc>
        <w:tc>
          <w:tcPr>
            <w:shd w:val="clear" w:color="auto" w:fill="auto"/>
            <w:vAlign w:val="center"/>
          </w:tcPr>
          <w:p w14:paraId="236F70AB">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w:t>
            </w:r>
          </w:p>
          <w:p w14:paraId="5CA7DD04">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状况</w:t>
            </w:r>
          </w:p>
        </w:tc>
        <w:tc>
          <w:tcPr>
            <w:shd w:val="clear" w:color="auto" w:fill="auto"/>
            <w:vAlign w:val="center"/>
          </w:tcPr>
          <w:p w14:paraId="11D7043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规程和针对性管理方案</w:t>
            </w:r>
          </w:p>
        </w:tc>
      </w:tr>
      <w:tr w14:paraId="10D28E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55" w:hRule="atLeast"/>
          <w:jc w:val="center"/>
        </w:trPr>
        <w:tc>
          <w:tcPr>
            <w:tcW w:w="464" w:type="dxa"/>
            <w:shd w:val="clear" w:color="auto" w:fill="auto"/>
            <w:vAlign w:val="center"/>
          </w:tcPr>
          <w:p w14:paraId="7EC3E14D">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tcW w:w="1034" w:type="dxa"/>
            <w:shd w:val="clear" w:color="auto" w:fill="auto"/>
            <w:textDirection w:val="tbLrV"/>
            <w:vAlign w:val="center"/>
          </w:tcPr>
          <w:p w14:paraId="31C9AA70">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本企业一年内发生过</w:t>
            </w:r>
          </w:p>
        </w:tc>
        <w:tc>
          <w:tcPr>
            <w:tcW w:w="1553" w:type="dxa"/>
            <w:shd w:val="clear" w:color="auto" w:fill="auto"/>
            <w:vAlign w:val="center"/>
          </w:tcPr>
          <w:p w14:paraId="1AA8032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无培训，无经验</w:t>
            </w:r>
          </w:p>
        </w:tc>
        <w:tc>
          <w:tcPr>
            <w:tcW w:w="1648" w:type="dxa"/>
            <w:shd w:val="clear" w:color="auto" w:fill="auto"/>
            <w:vAlign w:val="center"/>
          </w:tcPr>
          <w:p w14:paraId="76050A1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超期运行或超检验期</w:t>
            </w:r>
          </w:p>
        </w:tc>
        <w:tc>
          <w:tcPr>
            <w:shd w:val="clear" w:color="auto" w:fill="auto"/>
            <w:vAlign w:val="center"/>
          </w:tcPr>
          <w:p w14:paraId="2E79442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危险化学品生产贮存区域；存在或可能产生危害气体</w:t>
            </w:r>
          </w:p>
        </w:tc>
        <w:tc>
          <w:tcPr>
            <w:shd w:val="clear" w:color="auto" w:fill="auto"/>
            <w:vAlign w:val="center"/>
          </w:tcPr>
          <w:p w14:paraId="12D9E96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没有</w:t>
            </w:r>
          </w:p>
        </w:tc>
      </w:tr>
      <w:tr w14:paraId="2FD0E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75" w:hRule="atLeast"/>
          <w:jc w:val="center"/>
        </w:trPr>
        <w:tc>
          <w:tcPr>
            <w:tcW w:w="464" w:type="dxa"/>
            <w:shd w:val="clear" w:color="auto" w:fill="auto"/>
            <w:vAlign w:val="center"/>
          </w:tcPr>
          <w:p w14:paraId="0564909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tcW w:w="1034" w:type="dxa"/>
            <w:shd w:val="clear" w:color="auto" w:fill="auto"/>
            <w:textDirection w:val="tbLrV"/>
            <w:vAlign w:val="center"/>
          </w:tcPr>
          <w:p w14:paraId="086635C2">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本集团一年内发生过</w:t>
            </w:r>
          </w:p>
        </w:tc>
        <w:tc>
          <w:tcPr>
            <w:tcW w:w="1553" w:type="dxa"/>
            <w:shd w:val="clear" w:color="auto" w:fill="auto"/>
            <w:vAlign w:val="center"/>
          </w:tcPr>
          <w:p w14:paraId="13228A7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有培训但培训时间不够或未达成效果</w:t>
            </w:r>
          </w:p>
        </w:tc>
        <w:tc>
          <w:tcPr>
            <w:tcW w:w="1648" w:type="dxa"/>
            <w:shd w:val="clear" w:color="auto" w:fill="auto"/>
            <w:vAlign w:val="center"/>
          </w:tcPr>
          <w:p w14:paraId="6910527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保护自动装置功能不完善，存在质量缺陷</w:t>
            </w:r>
          </w:p>
        </w:tc>
        <w:tc>
          <w:tcPr>
            <w:shd w:val="clear" w:color="auto" w:fill="auto"/>
            <w:vAlign w:val="center"/>
          </w:tcPr>
          <w:p w14:paraId="79950CE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作业空间受限；作业立体交叉；恶劣气象条件；高空或在运行设备设施上作业</w:t>
            </w:r>
          </w:p>
        </w:tc>
        <w:tc>
          <w:tcPr>
            <w:shd w:val="clear" w:color="auto" w:fill="auto"/>
            <w:vAlign w:val="center"/>
          </w:tcPr>
          <w:p w14:paraId="35A7A6D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有，但不完善，且只偶尔执行</w:t>
            </w:r>
          </w:p>
        </w:tc>
      </w:tr>
      <w:tr w14:paraId="0CEED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23" w:hRule="atLeast"/>
          <w:jc w:val="center"/>
        </w:trPr>
        <w:tc>
          <w:tcPr>
            <w:tcW w:w="464" w:type="dxa"/>
            <w:shd w:val="clear" w:color="auto" w:fill="auto"/>
            <w:vAlign w:val="center"/>
          </w:tcPr>
          <w:p w14:paraId="211700F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tcW w:w="1034" w:type="dxa"/>
            <w:shd w:val="clear" w:color="auto" w:fill="auto"/>
            <w:textDirection w:val="tbLrV"/>
            <w:vAlign w:val="center"/>
          </w:tcPr>
          <w:p w14:paraId="2277B3AD">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本行业一年内发生过</w:t>
            </w:r>
          </w:p>
        </w:tc>
        <w:tc>
          <w:tcPr>
            <w:tcW w:w="1553" w:type="dxa"/>
            <w:shd w:val="clear" w:color="auto" w:fill="auto"/>
            <w:vAlign w:val="center"/>
          </w:tcPr>
          <w:p w14:paraId="2A8B5DF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经验不足，多次出现差错</w:t>
            </w:r>
          </w:p>
        </w:tc>
        <w:tc>
          <w:tcPr>
            <w:tcW w:w="1648" w:type="dxa"/>
            <w:shd w:val="clear" w:color="auto" w:fill="auto"/>
            <w:vAlign w:val="center"/>
          </w:tcPr>
          <w:p w14:paraId="560DD5B0">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基本完好，但安全装置不完善</w:t>
            </w:r>
          </w:p>
        </w:tc>
        <w:tc>
          <w:tcPr>
            <w:shd w:val="clear" w:color="auto" w:fill="auto"/>
            <w:vAlign w:val="center"/>
          </w:tcPr>
          <w:p w14:paraId="769B611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通风、光照或温度需要采取措施才能作业；周围有运行设备；立面有同时作业</w:t>
            </w:r>
          </w:p>
        </w:tc>
        <w:tc>
          <w:tcPr>
            <w:shd w:val="clear" w:color="auto" w:fill="auto"/>
            <w:vAlign w:val="center"/>
          </w:tcPr>
          <w:p w14:paraId="2B44915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有，较完善，但只部分执行</w:t>
            </w:r>
          </w:p>
        </w:tc>
      </w:tr>
      <w:tr w14:paraId="24124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3" w:hRule="atLeast"/>
          <w:jc w:val="center"/>
        </w:trPr>
        <w:tc>
          <w:tcPr>
            <w:tcW w:w="464" w:type="dxa"/>
            <w:shd w:val="clear" w:color="auto" w:fill="auto"/>
            <w:vAlign w:val="center"/>
          </w:tcPr>
          <w:p w14:paraId="01A14E0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tcW w:w="1034" w:type="dxa"/>
            <w:shd w:val="clear" w:color="auto" w:fill="auto"/>
            <w:textDirection w:val="tbLrV"/>
            <w:vAlign w:val="center"/>
          </w:tcPr>
          <w:p w14:paraId="0DF5D113">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全国范围一年内发生过</w:t>
            </w:r>
          </w:p>
        </w:tc>
        <w:tc>
          <w:tcPr>
            <w:tcW w:w="1553" w:type="dxa"/>
            <w:shd w:val="clear" w:color="auto" w:fill="auto"/>
            <w:vAlign w:val="center"/>
          </w:tcPr>
          <w:p w14:paraId="0BEB594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偶尔出现差错</w:t>
            </w:r>
          </w:p>
        </w:tc>
        <w:tc>
          <w:tcPr>
            <w:tcW w:w="1648" w:type="dxa"/>
            <w:shd w:val="clear" w:color="auto" w:fill="auto"/>
            <w:vAlign w:val="center"/>
          </w:tcPr>
          <w:p w14:paraId="349AD27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总体完好，但有缺陷</w:t>
            </w:r>
          </w:p>
        </w:tc>
        <w:tc>
          <w:tcPr>
            <w:shd w:val="clear" w:color="auto" w:fill="auto"/>
            <w:vAlign w:val="center"/>
          </w:tcPr>
          <w:p w14:paraId="1DCDA57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通风、光照或温度不影响作业；系统停运；同一作业面有其它作业</w:t>
            </w:r>
          </w:p>
        </w:tc>
        <w:tc>
          <w:tcPr>
            <w:shd w:val="clear" w:color="auto" w:fill="auto"/>
            <w:vAlign w:val="center"/>
          </w:tcPr>
          <w:p w14:paraId="7B5743B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有，完善，但偶尔不执行</w:t>
            </w:r>
          </w:p>
        </w:tc>
      </w:tr>
      <w:tr w14:paraId="4B0C13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1772" w:hRule="atLeast"/>
          <w:jc w:val="center"/>
        </w:trPr>
        <w:tc>
          <w:tcPr>
            <w:tcW w:w="464" w:type="dxa"/>
            <w:shd w:val="clear" w:color="auto" w:fill="auto"/>
            <w:vAlign w:val="center"/>
          </w:tcPr>
          <w:p w14:paraId="1B681E7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tcW w:w="1034" w:type="dxa"/>
            <w:shd w:val="clear" w:color="auto" w:fill="auto"/>
            <w:textDirection w:val="tbLrV"/>
            <w:vAlign w:val="center"/>
          </w:tcPr>
          <w:p w14:paraId="2DD841D0">
            <w:pPr>
              <w:widowControl w:val="0"/>
              <w:autoSpaceDE w:val="0"/>
              <w:autoSpaceDN w:val="0"/>
              <w:spacing w:before="60" w:after="60"/>
              <w:ind w:left="108" w:leftChars="0" w:right="113"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从未发生过</w:t>
            </w:r>
          </w:p>
        </w:tc>
        <w:tc>
          <w:tcPr>
            <w:tcW w:w="1553" w:type="dxa"/>
            <w:shd w:val="clear" w:color="auto" w:fill="auto"/>
            <w:vAlign w:val="center"/>
          </w:tcPr>
          <w:p w14:paraId="17910EE8">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培训充分，经验丰富，安全意识强</w:t>
            </w:r>
          </w:p>
        </w:tc>
        <w:tc>
          <w:tcPr>
            <w:tcW w:w="1648" w:type="dxa"/>
            <w:shd w:val="clear" w:color="auto" w:fill="auto"/>
            <w:vAlign w:val="center"/>
          </w:tcPr>
          <w:p w14:paraId="1130E3D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完好，无缺陷</w:t>
            </w:r>
          </w:p>
        </w:tc>
        <w:tc>
          <w:tcPr>
            <w:shd w:val="clear" w:color="auto" w:fill="auto"/>
            <w:vAlign w:val="center"/>
          </w:tcPr>
          <w:p w14:paraId="3081952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通风、光照良好，温度适宜；系统停运且周围无运行设备</w:t>
            </w:r>
          </w:p>
        </w:tc>
        <w:tc>
          <w:tcPr>
            <w:shd w:val="clear" w:color="auto" w:fill="auto"/>
            <w:vAlign w:val="center"/>
          </w:tcPr>
          <w:p w14:paraId="4B69A4FE">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有，完善，严格执行</w:t>
            </w:r>
          </w:p>
        </w:tc>
      </w:tr>
    </w:tbl>
    <w:p w14:paraId="293E04F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注：当缺少基础资料或者无法取得充分可靠的数据或者分析数据不具有成本效益性时，取值可参照类似性质、规模企业的业内平均水平。</w:t>
      </w:r>
    </w:p>
    <w:p w14:paraId="507CD90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3.风险事件后果严重程度（S）取值</w:t>
      </w:r>
    </w:p>
    <w:p w14:paraId="13DAC34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从人员伤亡、经济损失二个维度对风险事件后果严重程度进行评价取值，以最大值作为最终S值，即满足若干条件之一时就取对应的S值，而无需满足所有条件。</w:t>
      </w:r>
    </w:p>
    <w:p w14:paraId="7711739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0C2399C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风险事件后果严重程度（S）参考取值表</w:t>
      </w:r>
    </w:p>
    <w:tbl>
      <w:tblPr>
        <w:tblStyle w:val="19"/>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3404"/>
        <w:gridCol w:w="4891"/>
      </w:tblGrid>
      <w:tr w14:paraId="07306B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3803C6F8">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S</w:t>
            </w:r>
          </w:p>
        </w:tc>
        <w:tc>
          <w:tcPr>
            <w:shd w:val="clear" w:color="auto" w:fill="auto"/>
            <w:vAlign w:val="center"/>
          </w:tcPr>
          <w:p w14:paraId="69600DA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可能造成的人身伤害</w:t>
            </w:r>
          </w:p>
        </w:tc>
        <w:tc>
          <w:tcPr>
            <w:shd w:val="clear" w:color="auto" w:fill="auto"/>
            <w:vAlign w:val="center"/>
          </w:tcPr>
          <w:p w14:paraId="633A971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可能造成的财产损失、设备设施损坏</w:t>
            </w:r>
          </w:p>
        </w:tc>
      </w:tr>
      <w:tr w14:paraId="6D456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3E0B0C6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510130F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3人及以上死亡或7人及以上重伤</w:t>
            </w:r>
          </w:p>
        </w:tc>
        <w:tc>
          <w:tcPr>
            <w:shd w:val="clear" w:color="auto" w:fill="auto"/>
            <w:vAlign w:val="center"/>
          </w:tcPr>
          <w:p w14:paraId="7CA64950">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直接经济损失在1000万元及以上</w:t>
            </w:r>
          </w:p>
        </w:tc>
      </w:tr>
      <w:tr w14:paraId="7B4020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2696141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4CA9CBD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1-2人死亡或3-6人重伤</w:t>
            </w:r>
          </w:p>
        </w:tc>
        <w:tc>
          <w:tcPr>
            <w:shd w:val="clear" w:color="auto" w:fill="auto"/>
            <w:vAlign w:val="center"/>
          </w:tcPr>
          <w:p w14:paraId="19E617A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直接经济损失在100万元及以上，1000万元以下</w:t>
            </w:r>
          </w:p>
        </w:tc>
      </w:tr>
      <w:tr w14:paraId="27F00C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38AE6F1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53AA29FB">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造成1至2人重伤或3至6人轻伤</w:t>
            </w:r>
          </w:p>
        </w:tc>
        <w:tc>
          <w:tcPr>
            <w:shd w:val="clear" w:color="auto" w:fill="auto"/>
            <w:vAlign w:val="center"/>
          </w:tcPr>
          <w:p w14:paraId="59868D5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直接经济损失在10万元及以上，100万元以下</w:t>
            </w:r>
          </w:p>
        </w:tc>
      </w:tr>
      <w:tr w14:paraId="04446C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6B87C16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21CC83A7">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1至2人轻伤</w:t>
            </w:r>
          </w:p>
        </w:tc>
        <w:tc>
          <w:tcPr>
            <w:shd w:val="clear" w:color="auto" w:fill="auto"/>
            <w:vAlign w:val="center"/>
          </w:tcPr>
          <w:p w14:paraId="2786CD7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直接经济损失一万元及以上，10万元以下</w:t>
            </w:r>
          </w:p>
        </w:tc>
      </w:tr>
      <w:tr w14:paraId="2DE1F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98" w:hRule="atLeast"/>
          <w:jc w:val="center"/>
        </w:trPr>
        <w:tc>
          <w:tcPr>
            <w:shd w:val="clear" w:color="auto" w:fill="auto"/>
            <w:vAlign w:val="center"/>
          </w:tcPr>
          <w:p w14:paraId="588730BE">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0E4AF45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1至2人轻微伤</w:t>
            </w:r>
          </w:p>
        </w:tc>
        <w:tc>
          <w:tcPr>
            <w:shd w:val="clear" w:color="auto" w:fill="auto"/>
            <w:vAlign w:val="center"/>
          </w:tcPr>
          <w:p w14:paraId="31263E76">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直接经济损失在1万元以下</w:t>
            </w:r>
          </w:p>
        </w:tc>
      </w:tr>
    </w:tbl>
    <w:p w14:paraId="2482054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p>
    <w:p w14:paraId="7A858E3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4.风险评价</w:t>
      </w:r>
    </w:p>
    <w:p w14:paraId="3DFA583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风险评价是根据风险分析的结果，确定风险等级。</w:t>
      </w:r>
    </w:p>
    <w:p w14:paraId="53BAC8C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4.1风险值（R）</w:t>
      </w:r>
    </w:p>
    <w:p w14:paraId="4F69E3C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根据公式R=L×S计算出风险的风险值（R），并取最大值作为该风险的最终风险值（R）。</w:t>
      </w:r>
    </w:p>
    <w:p w14:paraId="4512A0D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p w14:paraId="6565EE9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风险矩阵（R）</w:t>
      </w:r>
    </w:p>
    <w:p w14:paraId="357B8084">
      <w:pPr>
        <w:widowControl w:val="0"/>
        <w:autoSpaceDE w:val="0"/>
        <w:autoSpaceDN w:val="0"/>
        <w:ind w:left="0" w:leftChars="0" w:firstLine="0" w:firstLineChars="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drawing>
          <wp:inline distT="0" distB="0" distL="114300" distR="114300">
            <wp:extent cx="5201920" cy="2435225"/>
            <wp:effectExtent l="0" t="0" r="10160" b="317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a:picLocks noChangeAspect="1" noChangeArrowheads="1"/>
                    </pic:cNvPicPr>
                  </pic:nvPicPr>
                  <pic:blipFill>
                    <a:blip r:embed="rId7"/>
                    <a:stretch>
                      <a:fillRect/>
                    </a:stretch>
                  </pic:blipFill>
                  <pic:spPr>
                    <a:xfrm>
                      <a:off x="0" y="0"/>
                      <a:ext cx="5201920" cy="2435225"/>
                    </a:xfrm>
                    <a:prstGeom prst="rect">
                      <a:avLst/>
                    </a:prstGeom>
                    <a:noFill/>
                    <a:ln w="9525">
                      <a:noFill/>
                    </a:ln>
                  </pic:spPr>
                </pic:pic>
              </a:graphicData>
            </a:graphic>
          </wp:inline>
        </w:drawing>
      </w:r>
    </w:p>
    <w:p w14:paraId="3FA65CA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4.2风险等级</w:t>
      </w:r>
    </w:p>
    <w:p w14:paraId="7B61DAA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根据风险值（R）的大小，将风险由高到低分为重大风险、较大风险、一般风险和低风险四个等级。</w:t>
      </w:r>
    </w:p>
    <w:p w14:paraId="70663BAB">
      <w:pPr>
        <w:widowControl w:val="0"/>
        <w:autoSpaceDE w:val="0"/>
        <w:autoSpaceDN w:val="0"/>
        <w:ind w:left="0" w:leftChars="0" w:firstLine="0" w:firstLineChars="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drawing>
          <wp:inline distT="0" distB="0" distL="114300" distR="114300">
            <wp:extent cx="5735320" cy="2129155"/>
            <wp:effectExtent l="0" t="0" r="10160" b="4445"/>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pic:cNvPicPr>
                      <a:picLocks noChangeAspect="1" noChangeArrowheads="1"/>
                    </pic:cNvPicPr>
                  </pic:nvPicPr>
                  <pic:blipFill>
                    <a:blip r:embed="rId8"/>
                    <a:stretch>
                      <a:fillRect/>
                    </a:stretch>
                  </pic:blipFill>
                  <pic:spPr>
                    <a:xfrm>
                      <a:off x="0" y="0"/>
                      <a:ext cx="5735320" cy="2129155"/>
                    </a:xfrm>
                    <a:prstGeom prst="rect">
                      <a:avLst/>
                    </a:prstGeom>
                    <a:noFill/>
                    <a:ln w="9525">
                      <a:noFill/>
                    </a:ln>
                  </pic:spPr>
                </pic:pic>
              </a:graphicData>
            </a:graphic>
          </wp:inline>
        </w:drawing>
      </w:r>
    </w:p>
    <w:p w14:paraId="46FEE9E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4B56F81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0C8F71D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LEC法安全风险评价判定准则</w:t>
      </w:r>
    </w:p>
    <w:p w14:paraId="4C01A95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表1</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可能性（L）基准值</w:t>
      </w:r>
    </w:p>
    <w:tbl>
      <w:tblPr>
        <w:tblStyle w:val="19"/>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79"/>
        <w:gridCol w:w="4827"/>
        <w:gridCol w:w="2506"/>
        <w:gridCol w:w="767"/>
      </w:tblGrid>
      <w:tr w14:paraId="650F5B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87" w:hRule="atLeast"/>
          <w:jc w:val="center"/>
        </w:trPr>
        <w:tc>
          <w:tcPr>
            <w:vMerge w:val="restart"/>
            <w:shd w:val="clear" w:color="auto" w:fill="auto"/>
            <w:vAlign w:val="center"/>
          </w:tcPr>
          <w:p w14:paraId="0DA6022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0D5340CF">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事故发生的可能性</w:t>
            </w:r>
          </w:p>
        </w:tc>
        <w:tc>
          <w:tcPr>
            <w:vMerge w:val="restart"/>
            <w:shd w:val="clear" w:color="auto" w:fill="auto"/>
            <w:vAlign w:val="center"/>
          </w:tcPr>
          <w:p w14:paraId="7039E3D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6C26F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vMerge w:val="continue"/>
            <w:shd w:val="clear" w:color="auto" w:fill="auto"/>
            <w:vAlign w:val="center"/>
          </w:tcPr>
          <w:p w14:paraId="4E8DDBB8">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2D58401">
            <w:pPr>
              <w:widowControl w:val="0"/>
              <w:autoSpaceDE w:val="0"/>
              <w:autoSpaceDN w:val="0"/>
              <w:spacing w:before="60" w:after="60"/>
              <w:ind w:left="108" w:firstLine="0" w:firstLineChars="0"/>
              <w:jc w:val="left"/>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人员伤亡、火灾、设备损坏、生产中断、环境污染</w:t>
            </w:r>
          </w:p>
        </w:tc>
        <w:tc>
          <w:tcPr>
            <w:shd w:val="clear" w:color="auto" w:fill="auto"/>
            <w:vAlign w:val="center"/>
          </w:tcPr>
          <w:p w14:paraId="3E058534">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职业健康损害</w:t>
            </w:r>
          </w:p>
        </w:tc>
        <w:tc>
          <w:tcPr>
            <w:vMerge w:val="continue"/>
            <w:shd w:val="clear" w:color="auto" w:fill="auto"/>
            <w:vAlign w:val="center"/>
          </w:tcPr>
          <w:p w14:paraId="5FE38982">
            <w:pPr>
              <w:widowControl w:val="0"/>
              <w:kinsoku/>
              <w:adjustRightInd/>
              <w:snapToGrid/>
              <w:textAlignment w:val="auto"/>
              <w:rPr>
                <w:rFonts w:hint="eastAsia" w:ascii="仿宋" w:hAnsi="仿宋" w:eastAsia="仿宋" w:cs="仿宋"/>
                <w:snapToGrid/>
                <w:sz w:val="32"/>
                <w:szCs w:val="32"/>
                <w:lang w:val="zh-CN" w:eastAsia="zh-CN" w:bidi="zh-CN"/>
              </w:rPr>
            </w:pPr>
          </w:p>
        </w:tc>
      </w:tr>
      <w:tr w14:paraId="472BBD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76F88C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329E130D">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如果危害事件发生，即产生最可能和预期的结果（100%）</w:t>
            </w:r>
          </w:p>
        </w:tc>
        <w:tc>
          <w:tcPr>
            <w:shd w:val="clear" w:color="auto" w:fill="auto"/>
            <w:vAlign w:val="center"/>
          </w:tcPr>
          <w:p w14:paraId="6ECE917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频繁：平均每6个月发生一次</w:t>
            </w:r>
          </w:p>
        </w:tc>
        <w:tc>
          <w:tcPr>
            <w:shd w:val="clear" w:color="auto" w:fill="auto"/>
            <w:vAlign w:val="center"/>
          </w:tcPr>
          <w:p w14:paraId="711E9A4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w:t>
            </w:r>
          </w:p>
        </w:tc>
      </w:tr>
      <w:tr w14:paraId="1A1B7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25F9E9F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33DC93E0">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十分可能（50%）</w:t>
            </w:r>
          </w:p>
        </w:tc>
        <w:tc>
          <w:tcPr>
            <w:shd w:val="clear" w:color="auto" w:fill="auto"/>
            <w:vAlign w:val="center"/>
          </w:tcPr>
          <w:p w14:paraId="37EA221F">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持续：平均每1年发生一次</w:t>
            </w:r>
          </w:p>
        </w:tc>
        <w:tc>
          <w:tcPr>
            <w:shd w:val="clear" w:color="auto" w:fill="auto"/>
            <w:vAlign w:val="center"/>
          </w:tcPr>
          <w:p w14:paraId="596CA0A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r>
      <w:tr w14:paraId="09BDE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4C1DE3F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09DC6FB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可能（25%）</w:t>
            </w:r>
          </w:p>
        </w:tc>
        <w:tc>
          <w:tcPr>
            <w:shd w:val="clear" w:color="auto" w:fill="auto"/>
            <w:vAlign w:val="center"/>
          </w:tcPr>
          <w:p w14:paraId="6160D3DB">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经常：平均每1～2年发生一次</w:t>
            </w:r>
          </w:p>
        </w:tc>
        <w:tc>
          <w:tcPr>
            <w:shd w:val="clear" w:color="auto" w:fill="auto"/>
            <w:vAlign w:val="center"/>
          </w:tcPr>
          <w:p w14:paraId="2EE16BF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r>
      <w:tr w14:paraId="70361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4B3C3E0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589672BC">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很少的可能性，据说曾经发生过</w:t>
            </w:r>
          </w:p>
        </w:tc>
        <w:tc>
          <w:tcPr>
            <w:shd w:val="clear" w:color="auto" w:fill="auto"/>
            <w:vAlign w:val="center"/>
          </w:tcPr>
          <w:p w14:paraId="29B1714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偶然：3～9年发生一次</w:t>
            </w:r>
          </w:p>
        </w:tc>
        <w:tc>
          <w:tcPr>
            <w:shd w:val="clear" w:color="auto" w:fill="auto"/>
            <w:vAlign w:val="center"/>
          </w:tcPr>
          <w:p w14:paraId="6407107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5D836D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6BE873C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75BB1E51">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相当少但确有可能，多年没有发生过</w:t>
            </w:r>
          </w:p>
        </w:tc>
        <w:tc>
          <w:tcPr>
            <w:shd w:val="clear" w:color="auto" w:fill="auto"/>
            <w:vAlign w:val="center"/>
          </w:tcPr>
          <w:p w14:paraId="150644F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很难：10～20年发生一次</w:t>
            </w:r>
          </w:p>
        </w:tc>
        <w:tc>
          <w:tcPr>
            <w:shd w:val="clear" w:color="auto" w:fill="auto"/>
            <w:vAlign w:val="center"/>
          </w:tcPr>
          <w:p w14:paraId="734CCF8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0.5</w:t>
            </w:r>
          </w:p>
        </w:tc>
      </w:tr>
      <w:tr w14:paraId="71F87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90" w:hRule="atLeast"/>
          <w:jc w:val="center"/>
        </w:trPr>
        <w:tc>
          <w:tcPr>
            <w:shd w:val="clear" w:color="auto" w:fill="auto"/>
            <w:vAlign w:val="center"/>
          </w:tcPr>
          <w:p w14:paraId="7B47837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3B47891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百万分之一的可能性，尽管暴露了许多年，但从来没有发生过</w:t>
            </w:r>
          </w:p>
        </w:tc>
        <w:tc>
          <w:tcPr>
            <w:shd w:val="clear" w:color="auto" w:fill="auto"/>
            <w:vAlign w:val="center"/>
          </w:tcPr>
          <w:p w14:paraId="36347B5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罕见：几乎从未发生过</w:t>
            </w:r>
          </w:p>
        </w:tc>
        <w:tc>
          <w:tcPr>
            <w:shd w:val="clear" w:color="auto" w:fill="auto"/>
            <w:vAlign w:val="center"/>
          </w:tcPr>
          <w:p w14:paraId="030A0B6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0.1</w:t>
            </w:r>
          </w:p>
        </w:tc>
      </w:tr>
    </w:tbl>
    <w:p w14:paraId="74391DC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p w14:paraId="138381D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表2</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暴露率（E）基准值</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3"/>
        <w:gridCol w:w="3875"/>
        <w:gridCol w:w="3194"/>
        <w:gridCol w:w="770"/>
      </w:tblGrid>
      <w:tr w14:paraId="074A3E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478BCF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4EC131A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人员暴露于危险环境中的频繁程度</w:t>
            </w:r>
          </w:p>
        </w:tc>
        <w:tc>
          <w:tcPr>
            <w:vMerge w:val="restart"/>
            <w:shd w:val="clear" w:color="auto" w:fill="auto"/>
            <w:vAlign w:val="center"/>
          </w:tcPr>
          <w:p w14:paraId="7556991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35A64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0B072DF">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CD7EFE6">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人员伤亡、火灾、设备损坏、生产中断、环境污染</w:t>
            </w:r>
          </w:p>
        </w:tc>
        <w:tc>
          <w:tcPr>
            <w:shd w:val="clear" w:color="auto" w:fill="auto"/>
            <w:vAlign w:val="center"/>
          </w:tcPr>
          <w:p w14:paraId="296F09D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职业健康损害</w:t>
            </w:r>
          </w:p>
        </w:tc>
        <w:tc>
          <w:tcPr>
            <w:vMerge w:val="continue"/>
            <w:shd w:val="clear" w:color="auto" w:fill="auto"/>
            <w:vAlign w:val="center"/>
          </w:tcPr>
          <w:p w14:paraId="34AE77A8">
            <w:pPr>
              <w:widowControl w:val="0"/>
              <w:kinsoku/>
              <w:adjustRightInd/>
              <w:snapToGrid/>
              <w:textAlignment w:val="auto"/>
              <w:rPr>
                <w:rFonts w:hint="eastAsia" w:ascii="仿宋" w:hAnsi="仿宋" w:eastAsia="仿宋" w:cs="仿宋"/>
                <w:snapToGrid/>
                <w:sz w:val="32"/>
                <w:szCs w:val="32"/>
                <w:lang w:val="zh-CN" w:eastAsia="zh-CN" w:bidi="zh-CN"/>
              </w:rPr>
            </w:pPr>
          </w:p>
        </w:tc>
      </w:tr>
      <w:tr w14:paraId="0F827D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7D98480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43FFC67A">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持续（每天许多次）</w:t>
            </w:r>
          </w:p>
        </w:tc>
        <w:tc>
          <w:tcPr>
            <w:shd w:val="clear" w:color="auto" w:fill="auto"/>
            <w:vAlign w:val="center"/>
          </w:tcPr>
          <w:p w14:paraId="7D2B0801">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暴露期大于2倍的法定极限值</w:t>
            </w:r>
          </w:p>
        </w:tc>
        <w:tc>
          <w:tcPr>
            <w:shd w:val="clear" w:color="auto" w:fill="auto"/>
            <w:vAlign w:val="center"/>
          </w:tcPr>
          <w:p w14:paraId="245DC09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w:t>
            </w:r>
          </w:p>
        </w:tc>
      </w:tr>
      <w:tr w14:paraId="01E59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1416E88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15685EF0">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经常（大概每天一次）</w:t>
            </w:r>
          </w:p>
        </w:tc>
        <w:tc>
          <w:tcPr>
            <w:shd w:val="clear" w:color="auto" w:fill="auto"/>
            <w:vAlign w:val="center"/>
          </w:tcPr>
          <w:p w14:paraId="54A2A187">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暴露期介于1～2倍法定极限值之间</w:t>
            </w:r>
          </w:p>
        </w:tc>
        <w:tc>
          <w:tcPr>
            <w:shd w:val="clear" w:color="auto" w:fill="auto"/>
            <w:vAlign w:val="center"/>
          </w:tcPr>
          <w:p w14:paraId="3813198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r>
      <w:tr w14:paraId="267FA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A51D06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17B9F4C8">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有时（从每周一次到每月一次）</w:t>
            </w:r>
          </w:p>
        </w:tc>
        <w:tc>
          <w:tcPr>
            <w:shd w:val="clear" w:color="auto" w:fill="auto"/>
            <w:vAlign w:val="center"/>
          </w:tcPr>
          <w:p w14:paraId="6110825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暴露期在法定极限值内</w:t>
            </w:r>
          </w:p>
        </w:tc>
        <w:tc>
          <w:tcPr>
            <w:shd w:val="clear" w:color="auto" w:fill="auto"/>
            <w:vAlign w:val="center"/>
          </w:tcPr>
          <w:p w14:paraId="606795C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r>
      <w:tr w14:paraId="26C26B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66ECA91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033802C8">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偶尔（从每月一次到每年一次）</w:t>
            </w:r>
          </w:p>
        </w:tc>
        <w:tc>
          <w:tcPr>
            <w:shd w:val="clear" w:color="auto" w:fill="auto"/>
            <w:vAlign w:val="center"/>
          </w:tcPr>
          <w:p w14:paraId="2B1118CA">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暴露期在正常允许水平和法定极限值之间</w:t>
            </w:r>
          </w:p>
        </w:tc>
        <w:tc>
          <w:tcPr>
            <w:shd w:val="clear" w:color="auto" w:fill="auto"/>
            <w:vAlign w:val="center"/>
          </w:tcPr>
          <w:p w14:paraId="63D71E6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r>
      <w:tr w14:paraId="714F2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E959CD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7B48B7A1">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很少（据说曾经发生过）</w:t>
            </w:r>
          </w:p>
        </w:tc>
        <w:tc>
          <w:tcPr>
            <w:shd w:val="clear" w:color="auto" w:fill="auto"/>
            <w:vAlign w:val="center"/>
          </w:tcPr>
          <w:p w14:paraId="30983CF0">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暴露期在正常允许水平内</w:t>
            </w:r>
          </w:p>
        </w:tc>
        <w:tc>
          <w:tcPr>
            <w:shd w:val="clear" w:color="auto" w:fill="auto"/>
            <w:vAlign w:val="center"/>
          </w:tcPr>
          <w:p w14:paraId="7607A95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20684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65EB4CC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0019288F">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特别少（没发生过，但有发生的可能性）</w:t>
            </w:r>
          </w:p>
        </w:tc>
        <w:tc>
          <w:tcPr>
            <w:shd w:val="clear" w:color="auto" w:fill="auto"/>
            <w:vAlign w:val="center"/>
          </w:tcPr>
          <w:p w14:paraId="7130AFFA">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暴露期低于正常允许水平</w:t>
            </w:r>
          </w:p>
        </w:tc>
        <w:tc>
          <w:tcPr>
            <w:shd w:val="clear" w:color="auto" w:fill="auto"/>
            <w:vAlign w:val="center"/>
          </w:tcPr>
          <w:p w14:paraId="75FE3D6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0.5</w:t>
            </w:r>
          </w:p>
        </w:tc>
      </w:tr>
    </w:tbl>
    <w:p w14:paraId="73DB94B9">
      <w:pPr>
        <w:widowControl w:val="0"/>
        <w:autoSpaceDE w:val="0"/>
        <w:autoSpaceDN w:val="0"/>
        <w:ind w:left="108" w:firstLine="535"/>
        <w:rPr>
          <w:rFonts w:hint="eastAsia" w:ascii="仿宋" w:hAnsi="仿宋" w:eastAsia="仿宋" w:cs="仿宋"/>
          <w:b/>
          <w:bCs/>
          <w:sz w:val="32"/>
          <w:szCs w:val="32"/>
          <w:lang w:val="zh-CN" w:eastAsia="zh-CN" w:bidi="zh-CN"/>
        </w:rPr>
      </w:pPr>
    </w:p>
    <w:p w14:paraId="27ABC6C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表3</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后果（C）基准值</w:t>
      </w:r>
    </w:p>
    <w:tbl>
      <w:tblPr>
        <w:tblStyle w:val="19"/>
        <w:tblW w:w="500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2131"/>
        <w:gridCol w:w="2131"/>
        <w:gridCol w:w="2131"/>
        <w:gridCol w:w="2131"/>
      </w:tblGrid>
      <w:tr w14:paraId="63288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4EE4686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3C2D3A9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事故可能造成后果的严重程度</w:t>
            </w:r>
          </w:p>
        </w:tc>
        <w:tc>
          <w:tcPr>
            <w:shd w:val="clear" w:color="auto" w:fill="auto"/>
            <w:vAlign w:val="center"/>
          </w:tcPr>
          <w:p w14:paraId="2997289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492B5D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658BF72">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6120CA5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7D007B4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（1）造成死亡≥3人；或重伤≥10人。</w:t>
            </w:r>
          </w:p>
        </w:tc>
        <w:tc>
          <w:tcPr>
            <w:vMerge w:val="restart"/>
            <w:shd w:val="clear" w:color="auto" w:fill="auto"/>
            <w:vAlign w:val="center"/>
          </w:tcPr>
          <w:p w14:paraId="308C6C4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100</w:t>
            </w:r>
          </w:p>
        </w:tc>
      </w:tr>
      <w:tr w14:paraId="610267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E8DD8C3">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204EA2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74B471B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（1）造成设备或财产损失≥1000万元。</w:t>
            </w:r>
          </w:p>
        </w:tc>
        <w:tc>
          <w:tcPr>
            <w:vMerge w:val="continue"/>
            <w:shd w:val="clear" w:color="auto" w:fill="auto"/>
            <w:vAlign w:val="center"/>
          </w:tcPr>
          <w:p w14:paraId="3503E2FD">
            <w:pPr>
              <w:widowControl w:val="0"/>
              <w:kinsoku/>
              <w:adjustRightInd/>
              <w:snapToGrid/>
              <w:textAlignment w:val="auto"/>
              <w:rPr>
                <w:rFonts w:hint="eastAsia" w:ascii="仿宋" w:hAnsi="仿宋" w:eastAsia="仿宋" w:cs="仿宋"/>
                <w:snapToGrid/>
                <w:sz w:val="32"/>
                <w:szCs w:val="32"/>
                <w:lang w:val="zh-CN" w:eastAsia="zh-CN" w:bidi="zh-CN"/>
              </w:rPr>
            </w:pPr>
          </w:p>
        </w:tc>
      </w:tr>
      <w:tr w14:paraId="4DBBD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41C54C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EDC9B2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174FA986">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（1）造成较大以上电力安全事故。</w:t>
            </w:r>
          </w:p>
        </w:tc>
        <w:tc>
          <w:tcPr>
            <w:vMerge w:val="continue"/>
            <w:shd w:val="clear" w:color="auto" w:fill="auto"/>
            <w:vAlign w:val="center"/>
          </w:tcPr>
          <w:p w14:paraId="0812022B">
            <w:pPr>
              <w:widowControl w:val="0"/>
              <w:kinsoku/>
              <w:adjustRightInd/>
              <w:snapToGrid/>
              <w:textAlignment w:val="auto"/>
              <w:rPr>
                <w:rFonts w:hint="eastAsia" w:ascii="仿宋" w:hAnsi="仿宋" w:eastAsia="仿宋" w:cs="仿宋"/>
                <w:snapToGrid/>
                <w:sz w:val="32"/>
                <w:szCs w:val="32"/>
                <w:lang w:val="zh-CN" w:eastAsia="zh-CN" w:bidi="zh-CN"/>
              </w:rPr>
            </w:pPr>
          </w:p>
        </w:tc>
      </w:tr>
      <w:tr w14:paraId="46098A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6DB3BDB">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69A7A5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1EB2437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（1）造成大范围环境破坏；</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（2）造成人员死亡、环境恢复困难；</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（3）严重违反国家环境保护法律法规。</w:t>
            </w:r>
          </w:p>
        </w:tc>
        <w:tc>
          <w:tcPr>
            <w:vMerge w:val="continue"/>
            <w:shd w:val="clear" w:color="auto" w:fill="auto"/>
            <w:vAlign w:val="center"/>
          </w:tcPr>
          <w:p w14:paraId="01A8CC6F">
            <w:pPr>
              <w:widowControl w:val="0"/>
              <w:kinsoku/>
              <w:adjustRightInd/>
              <w:snapToGrid/>
              <w:textAlignment w:val="auto"/>
              <w:rPr>
                <w:rFonts w:hint="eastAsia" w:ascii="仿宋" w:hAnsi="仿宋" w:eastAsia="仿宋" w:cs="仿宋"/>
                <w:snapToGrid/>
                <w:sz w:val="32"/>
                <w:szCs w:val="32"/>
                <w:lang w:val="zh-CN" w:eastAsia="zh-CN" w:bidi="zh-CN"/>
              </w:rPr>
            </w:pPr>
          </w:p>
        </w:tc>
      </w:tr>
      <w:tr w14:paraId="21AC3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5B391F8">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D7F042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3B47406E">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（1）造成3～9例无法复原的严重职业病；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（2）造成9例以上很难治愈的职业病。</w:t>
            </w:r>
          </w:p>
        </w:tc>
        <w:tc>
          <w:tcPr>
            <w:vMerge w:val="continue"/>
            <w:shd w:val="clear" w:color="auto" w:fill="auto"/>
            <w:vAlign w:val="center"/>
          </w:tcPr>
          <w:p w14:paraId="1CEC85D7">
            <w:pPr>
              <w:widowControl w:val="0"/>
              <w:kinsoku/>
              <w:adjustRightInd/>
              <w:snapToGrid/>
              <w:textAlignment w:val="auto"/>
              <w:rPr>
                <w:rFonts w:hint="eastAsia" w:ascii="仿宋" w:hAnsi="仿宋" w:eastAsia="仿宋" w:cs="仿宋"/>
                <w:snapToGrid/>
                <w:sz w:val="32"/>
                <w:szCs w:val="32"/>
                <w:lang w:val="zh-CN" w:eastAsia="zh-CN" w:bidi="zh-CN"/>
              </w:rPr>
            </w:pPr>
          </w:p>
        </w:tc>
      </w:tr>
      <w:tr w14:paraId="61190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10AFD98A">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4B345A3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53A80125">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（1）造成1～2人死亡；或重伤3～9人。</w:t>
            </w:r>
          </w:p>
        </w:tc>
        <w:tc>
          <w:tcPr>
            <w:vMerge w:val="restart"/>
            <w:shd w:val="clear" w:color="auto" w:fill="auto"/>
            <w:vAlign w:val="center"/>
          </w:tcPr>
          <w:p w14:paraId="4203E0B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50</w:t>
            </w:r>
          </w:p>
        </w:tc>
      </w:tr>
      <w:tr w14:paraId="7EB1C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168DFB7">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907F81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6DF847D2">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（1）造成设备或财产损失在100万元到1000万元之间。</w:t>
            </w:r>
          </w:p>
        </w:tc>
        <w:tc>
          <w:tcPr>
            <w:vMerge w:val="continue"/>
            <w:shd w:val="clear" w:color="auto" w:fill="auto"/>
            <w:vAlign w:val="center"/>
          </w:tcPr>
          <w:p w14:paraId="3610ED59">
            <w:pPr>
              <w:widowControl w:val="0"/>
              <w:kinsoku/>
              <w:adjustRightInd/>
              <w:snapToGrid/>
              <w:textAlignment w:val="auto"/>
              <w:rPr>
                <w:rFonts w:hint="eastAsia" w:ascii="仿宋" w:hAnsi="仿宋" w:eastAsia="仿宋" w:cs="仿宋"/>
                <w:snapToGrid/>
                <w:sz w:val="32"/>
                <w:szCs w:val="32"/>
                <w:lang w:val="zh-CN" w:eastAsia="zh-CN" w:bidi="zh-CN"/>
              </w:rPr>
            </w:pPr>
          </w:p>
        </w:tc>
      </w:tr>
      <w:tr w14:paraId="034DF1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A91A4C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327478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4635EBF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（1）造成一般电力安全事故且中断安全记录。</w:t>
            </w:r>
          </w:p>
        </w:tc>
        <w:tc>
          <w:tcPr>
            <w:vMerge w:val="continue"/>
            <w:shd w:val="clear" w:color="auto" w:fill="auto"/>
            <w:vAlign w:val="center"/>
          </w:tcPr>
          <w:p w14:paraId="555D7DF7">
            <w:pPr>
              <w:widowControl w:val="0"/>
              <w:kinsoku/>
              <w:adjustRightInd/>
              <w:snapToGrid/>
              <w:textAlignment w:val="auto"/>
              <w:rPr>
                <w:rFonts w:hint="eastAsia" w:ascii="仿宋" w:hAnsi="仿宋" w:eastAsia="仿宋" w:cs="仿宋"/>
                <w:snapToGrid/>
                <w:sz w:val="32"/>
                <w:szCs w:val="32"/>
                <w:lang w:val="zh-CN" w:eastAsia="zh-CN" w:bidi="zh-CN"/>
              </w:rPr>
            </w:pPr>
          </w:p>
        </w:tc>
      </w:tr>
      <w:tr w14:paraId="31B87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96F4BA8">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DBD163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40379F3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（1）造成较大范围的环境破坏；</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（2）影响后果可导致急性疾病或重大伤残，居民需要撤离；</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（3）政府要求整顿。</w:t>
            </w:r>
          </w:p>
        </w:tc>
        <w:tc>
          <w:tcPr>
            <w:vMerge w:val="continue"/>
            <w:shd w:val="clear" w:color="auto" w:fill="auto"/>
            <w:vAlign w:val="center"/>
          </w:tcPr>
          <w:p w14:paraId="0793398D">
            <w:pPr>
              <w:widowControl w:val="0"/>
              <w:kinsoku/>
              <w:adjustRightInd/>
              <w:snapToGrid/>
              <w:textAlignment w:val="auto"/>
              <w:rPr>
                <w:rFonts w:hint="eastAsia" w:ascii="仿宋" w:hAnsi="仿宋" w:eastAsia="仿宋" w:cs="仿宋"/>
                <w:snapToGrid/>
                <w:sz w:val="32"/>
                <w:szCs w:val="32"/>
                <w:lang w:val="zh-CN" w:eastAsia="zh-CN" w:bidi="zh-CN"/>
              </w:rPr>
            </w:pPr>
          </w:p>
        </w:tc>
      </w:tr>
      <w:tr w14:paraId="7E9A6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C922AEF">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1CD54C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0427844A">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（1）造成1～2例无法复原的严重职业病；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（2）造成3～9例以上很难治愈的职业病。</w:t>
            </w:r>
          </w:p>
        </w:tc>
        <w:tc>
          <w:tcPr>
            <w:vMerge w:val="continue"/>
            <w:shd w:val="clear" w:color="auto" w:fill="auto"/>
            <w:vAlign w:val="center"/>
          </w:tcPr>
          <w:p w14:paraId="7E664EE2">
            <w:pPr>
              <w:widowControl w:val="0"/>
              <w:kinsoku/>
              <w:adjustRightInd/>
              <w:snapToGrid/>
              <w:textAlignment w:val="auto"/>
              <w:rPr>
                <w:rFonts w:hint="eastAsia" w:ascii="仿宋" w:hAnsi="仿宋" w:eastAsia="仿宋" w:cs="仿宋"/>
                <w:snapToGrid/>
                <w:sz w:val="32"/>
                <w:szCs w:val="32"/>
                <w:lang w:val="zh-CN" w:eastAsia="zh-CN" w:bidi="zh-CN"/>
              </w:rPr>
            </w:pPr>
          </w:p>
        </w:tc>
      </w:tr>
      <w:tr w14:paraId="5D3787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60AA2B90">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43EE9D1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4924073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（1）造成重伤1～2人。</w:t>
            </w:r>
          </w:p>
        </w:tc>
        <w:tc>
          <w:tcPr>
            <w:vMerge w:val="restart"/>
            <w:shd w:val="clear" w:color="auto" w:fill="auto"/>
            <w:vAlign w:val="center"/>
          </w:tcPr>
          <w:p w14:paraId="41650C2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25</w:t>
            </w:r>
          </w:p>
        </w:tc>
      </w:tr>
      <w:tr w14:paraId="17E83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A2F75F5">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5E336D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35EAD3E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（1）造成设备或财产损失在50万元到100万元之间。</w:t>
            </w:r>
          </w:p>
        </w:tc>
        <w:tc>
          <w:tcPr>
            <w:vMerge w:val="continue"/>
            <w:shd w:val="clear" w:color="auto" w:fill="auto"/>
            <w:vAlign w:val="center"/>
          </w:tcPr>
          <w:p w14:paraId="2A9BC3E8">
            <w:pPr>
              <w:widowControl w:val="0"/>
              <w:kinsoku/>
              <w:adjustRightInd/>
              <w:snapToGrid/>
              <w:textAlignment w:val="auto"/>
              <w:rPr>
                <w:rFonts w:hint="eastAsia" w:ascii="仿宋" w:hAnsi="仿宋" w:eastAsia="仿宋" w:cs="仿宋"/>
                <w:snapToGrid/>
                <w:sz w:val="32"/>
                <w:szCs w:val="32"/>
                <w:lang w:val="zh-CN" w:eastAsia="zh-CN" w:bidi="zh-CN"/>
              </w:rPr>
            </w:pPr>
          </w:p>
        </w:tc>
      </w:tr>
      <w:tr w14:paraId="6A4A27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EBA03E6">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DE3B0B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6B9451CE">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（1）造成内部统计事故。</w:t>
            </w:r>
          </w:p>
        </w:tc>
        <w:tc>
          <w:tcPr>
            <w:vMerge w:val="continue"/>
            <w:shd w:val="clear" w:color="auto" w:fill="auto"/>
            <w:vAlign w:val="center"/>
          </w:tcPr>
          <w:p w14:paraId="5F7F27D8">
            <w:pPr>
              <w:widowControl w:val="0"/>
              <w:kinsoku/>
              <w:adjustRightInd/>
              <w:snapToGrid/>
              <w:textAlignment w:val="auto"/>
              <w:rPr>
                <w:rFonts w:hint="eastAsia" w:ascii="仿宋" w:hAnsi="仿宋" w:eastAsia="仿宋" w:cs="仿宋"/>
                <w:snapToGrid/>
                <w:sz w:val="32"/>
                <w:szCs w:val="32"/>
                <w:lang w:val="zh-CN" w:eastAsia="zh-CN" w:bidi="zh-CN"/>
              </w:rPr>
            </w:pPr>
          </w:p>
        </w:tc>
      </w:tr>
      <w:tr w14:paraId="6EA54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D03D01D">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804844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0B1E740E">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（1）影响到周边居民及生态环境，引起居民抗争。</w:t>
            </w:r>
          </w:p>
        </w:tc>
        <w:tc>
          <w:tcPr>
            <w:vMerge w:val="continue"/>
            <w:shd w:val="clear" w:color="auto" w:fill="auto"/>
            <w:vAlign w:val="center"/>
          </w:tcPr>
          <w:p w14:paraId="0B9004E7">
            <w:pPr>
              <w:widowControl w:val="0"/>
              <w:kinsoku/>
              <w:adjustRightInd/>
              <w:snapToGrid/>
              <w:textAlignment w:val="auto"/>
              <w:rPr>
                <w:rFonts w:hint="eastAsia" w:ascii="仿宋" w:hAnsi="仿宋" w:eastAsia="仿宋" w:cs="仿宋"/>
                <w:snapToGrid/>
                <w:sz w:val="32"/>
                <w:szCs w:val="32"/>
                <w:lang w:val="zh-CN" w:eastAsia="zh-CN" w:bidi="zh-CN"/>
              </w:rPr>
            </w:pPr>
          </w:p>
        </w:tc>
      </w:tr>
      <w:tr w14:paraId="6FB8B8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21BD085">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F4B2CE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1A41B25D">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（1）造成1～2例难治愈或造成3～9例可治愈的职业病；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（2）造成9例以上与职业有关的疾病。</w:t>
            </w:r>
          </w:p>
        </w:tc>
        <w:tc>
          <w:tcPr>
            <w:vMerge w:val="continue"/>
            <w:shd w:val="clear" w:color="auto" w:fill="auto"/>
            <w:vAlign w:val="center"/>
          </w:tcPr>
          <w:p w14:paraId="75E451C5">
            <w:pPr>
              <w:widowControl w:val="0"/>
              <w:kinsoku/>
              <w:adjustRightInd/>
              <w:snapToGrid/>
              <w:textAlignment w:val="auto"/>
              <w:rPr>
                <w:rFonts w:hint="eastAsia" w:ascii="仿宋" w:hAnsi="仿宋" w:eastAsia="仿宋" w:cs="仿宋"/>
                <w:snapToGrid/>
                <w:sz w:val="32"/>
                <w:szCs w:val="32"/>
                <w:lang w:val="zh-CN" w:eastAsia="zh-CN" w:bidi="zh-CN"/>
              </w:rPr>
            </w:pPr>
          </w:p>
        </w:tc>
      </w:tr>
      <w:tr w14:paraId="014E8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3CD0BE04">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3628789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33785691">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（1）造成轻伤3人以上。</w:t>
            </w:r>
          </w:p>
        </w:tc>
        <w:tc>
          <w:tcPr>
            <w:vMerge w:val="restart"/>
            <w:shd w:val="clear" w:color="auto" w:fill="auto"/>
            <w:vAlign w:val="center"/>
          </w:tcPr>
          <w:p w14:paraId="63AB7C6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15</w:t>
            </w:r>
          </w:p>
        </w:tc>
      </w:tr>
      <w:tr w14:paraId="57B03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448D25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2E5C8C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26633157">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（1）造成设备或财产损失在10万元到50万元之间。</w:t>
            </w:r>
          </w:p>
        </w:tc>
        <w:tc>
          <w:tcPr>
            <w:vMerge w:val="continue"/>
            <w:shd w:val="clear" w:color="auto" w:fill="auto"/>
            <w:vAlign w:val="center"/>
          </w:tcPr>
          <w:p w14:paraId="399BDC7B">
            <w:pPr>
              <w:widowControl w:val="0"/>
              <w:kinsoku/>
              <w:adjustRightInd/>
              <w:snapToGrid/>
              <w:textAlignment w:val="auto"/>
              <w:rPr>
                <w:rFonts w:hint="eastAsia" w:ascii="仿宋" w:hAnsi="仿宋" w:eastAsia="仿宋" w:cs="仿宋"/>
                <w:snapToGrid/>
                <w:sz w:val="32"/>
                <w:szCs w:val="32"/>
                <w:lang w:val="zh-CN" w:eastAsia="zh-CN" w:bidi="zh-CN"/>
              </w:rPr>
            </w:pPr>
          </w:p>
        </w:tc>
      </w:tr>
      <w:tr w14:paraId="78A32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6BFEA09">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DB7859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0927EA70">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（1）造成设备一类障碍。</w:t>
            </w:r>
          </w:p>
        </w:tc>
        <w:tc>
          <w:tcPr>
            <w:vMerge w:val="continue"/>
            <w:shd w:val="clear" w:color="auto" w:fill="auto"/>
            <w:vAlign w:val="center"/>
          </w:tcPr>
          <w:p w14:paraId="1CC62352">
            <w:pPr>
              <w:widowControl w:val="0"/>
              <w:kinsoku/>
              <w:adjustRightInd/>
              <w:snapToGrid/>
              <w:textAlignment w:val="auto"/>
              <w:rPr>
                <w:rFonts w:hint="eastAsia" w:ascii="仿宋" w:hAnsi="仿宋" w:eastAsia="仿宋" w:cs="仿宋"/>
                <w:snapToGrid/>
                <w:sz w:val="32"/>
                <w:szCs w:val="32"/>
                <w:lang w:val="zh-CN" w:eastAsia="zh-CN" w:bidi="zh-CN"/>
              </w:rPr>
            </w:pPr>
          </w:p>
        </w:tc>
      </w:tr>
      <w:tr w14:paraId="7B6F9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7C02015">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282455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7E0C578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（1）对周边居民及环境有些影响，引起居民抱怨、投诉。</w:t>
            </w:r>
          </w:p>
        </w:tc>
        <w:tc>
          <w:tcPr>
            <w:vMerge w:val="continue"/>
            <w:shd w:val="clear" w:color="auto" w:fill="auto"/>
            <w:vAlign w:val="center"/>
          </w:tcPr>
          <w:p w14:paraId="02686621">
            <w:pPr>
              <w:widowControl w:val="0"/>
              <w:kinsoku/>
              <w:adjustRightInd/>
              <w:snapToGrid/>
              <w:textAlignment w:val="auto"/>
              <w:rPr>
                <w:rFonts w:hint="eastAsia" w:ascii="仿宋" w:hAnsi="仿宋" w:eastAsia="仿宋" w:cs="仿宋"/>
                <w:snapToGrid/>
                <w:sz w:val="32"/>
                <w:szCs w:val="32"/>
                <w:lang w:val="zh-CN" w:eastAsia="zh-CN" w:bidi="zh-CN"/>
              </w:rPr>
            </w:pPr>
          </w:p>
        </w:tc>
      </w:tr>
      <w:tr w14:paraId="13305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DF4C8D8">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59AB2A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3430C227">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（1）造成1～2例可治愈的职业病；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（2）造成3～9例与职业有关的疾病。</w:t>
            </w:r>
          </w:p>
        </w:tc>
        <w:tc>
          <w:tcPr>
            <w:vMerge w:val="continue"/>
            <w:shd w:val="clear" w:color="auto" w:fill="auto"/>
            <w:vAlign w:val="center"/>
          </w:tcPr>
          <w:p w14:paraId="4E15EC7E">
            <w:pPr>
              <w:widowControl w:val="0"/>
              <w:kinsoku/>
              <w:adjustRightInd/>
              <w:snapToGrid/>
              <w:textAlignment w:val="auto"/>
              <w:rPr>
                <w:rFonts w:hint="eastAsia" w:ascii="仿宋" w:hAnsi="仿宋" w:eastAsia="仿宋" w:cs="仿宋"/>
                <w:snapToGrid/>
                <w:sz w:val="32"/>
                <w:szCs w:val="32"/>
                <w:lang w:val="zh-CN" w:eastAsia="zh-CN" w:bidi="zh-CN"/>
              </w:rPr>
            </w:pPr>
          </w:p>
        </w:tc>
      </w:tr>
      <w:tr w14:paraId="056350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A420DD1">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756DDF6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424E7C1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（1）造成轻伤1～2人。</w:t>
            </w:r>
          </w:p>
        </w:tc>
        <w:tc>
          <w:tcPr>
            <w:vMerge w:val="restart"/>
            <w:shd w:val="clear" w:color="auto" w:fill="auto"/>
            <w:vAlign w:val="center"/>
          </w:tcPr>
          <w:p w14:paraId="004071C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r>
      <w:tr w14:paraId="368DFE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D4C06C4">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D28085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61D25A5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（1）造成设备或财产损失在2万元到10万元之间。</w:t>
            </w:r>
          </w:p>
        </w:tc>
        <w:tc>
          <w:tcPr>
            <w:vMerge w:val="continue"/>
            <w:shd w:val="clear" w:color="auto" w:fill="auto"/>
            <w:vAlign w:val="center"/>
          </w:tcPr>
          <w:p w14:paraId="070D5D82">
            <w:pPr>
              <w:widowControl w:val="0"/>
              <w:kinsoku/>
              <w:adjustRightInd/>
              <w:snapToGrid/>
              <w:textAlignment w:val="auto"/>
              <w:rPr>
                <w:rFonts w:hint="eastAsia" w:ascii="仿宋" w:hAnsi="仿宋" w:eastAsia="仿宋" w:cs="仿宋"/>
                <w:snapToGrid/>
                <w:sz w:val="32"/>
                <w:szCs w:val="32"/>
                <w:lang w:val="zh-CN" w:eastAsia="zh-CN" w:bidi="zh-CN"/>
              </w:rPr>
            </w:pPr>
          </w:p>
        </w:tc>
      </w:tr>
      <w:tr w14:paraId="5C7D41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44F184F">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CAE1C7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7BBF55B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（1）造成设备二类障碍。</w:t>
            </w:r>
          </w:p>
        </w:tc>
        <w:tc>
          <w:tcPr>
            <w:vMerge w:val="continue"/>
            <w:shd w:val="clear" w:color="auto" w:fill="auto"/>
            <w:vAlign w:val="center"/>
          </w:tcPr>
          <w:p w14:paraId="60CFA39C">
            <w:pPr>
              <w:widowControl w:val="0"/>
              <w:kinsoku/>
              <w:adjustRightInd/>
              <w:snapToGrid/>
              <w:textAlignment w:val="auto"/>
              <w:rPr>
                <w:rFonts w:hint="eastAsia" w:ascii="仿宋" w:hAnsi="仿宋" w:eastAsia="仿宋" w:cs="仿宋"/>
                <w:snapToGrid/>
                <w:sz w:val="32"/>
                <w:szCs w:val="32"/>
                <w:lang w:val="zh-CN" w:eastAsia="zh-CN" w:bidi="zh-CN"/>
              </w:rPr>
            </w:pPr>
          </w:p>
        </w:tc>
      </w:tr>
      <w:tr w14:paraId="2AAEAF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B42CE25">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DF1EAC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188287C5">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（1）轻度影响到周边居民及小范围（现场）生态环境。</w:t>
            </w:r>
          </w:p>
        </w:tc>
        <w:tc>
          <w:tcPr>
            <w:vMerge w:val="continue"/>
            <w:shd w:val="clear" w:color="auto" w:fill="auto"/>
            <w:vAlign w:val="center"/>
          </w:tcPr>
          <w:p w14:paraId="4D2C115A">
            <w:pPr>
              <w:widowControl w:val="0"/>
              <w:kinsoku/>
              <w:adjustRightInd/>
              <w:snapToGrid/>
              <w:textAlignment w:val="auto"/>
              <w:rPr>
                <w:rFonts w:hint="eastAsia" w:ascii="仿宋" w:hAnsi="仿宋" w:eastAsia="仿宋" w:cs="仿宋"/>
                <w:snapToGrid/>
                <w:sz w:val="32"/>
                <w:szCs w:val="32"/>
                <w:lang w:val="zh-CN" w:eastAsia="zh-CN" w:bidi="zh-CN"/>
              </w:rPr>
            </w:pPr>
          </w:p>
        </w:tc>
      </w:tr>
      <w:tr w14:paraId="705D1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B5D67DB">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EC05F8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3808A33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（1）造成1～2例与职业有关的疾病；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（2）造成3～9例有影响健康的事件。</w:t>
            </w:r>
          </w:p>
        </w:tc>
        <w:tc>
          <w:tcPr>
            <w:vMerge w:val="continue"/>
            <w:shd w:val="clear" w:color="auto" w:fill="auto"/>
            <w:vAlign w:val="center"/>
          </w:tcPr>
          <w:p w14:paraId="46CFFB40">
            <w:pPr>
              <w:widowControl w:val="0"/>
              <w:kinsoku/>
              <w:adjustRightInd/>
              <w:snapToGrid/>
              <w:textAlignment w:val="auto"/>
              <w:rPr>
                <w:rFonts w:hint="eastAsia" w:ascii="仿宋" w:hAnsi="仿宋" w:eastAsia="仿宋" w:cs="仿宋"/>
                <w:snapToGrid/>
                <w:sz w:val="32"/>
                <w:szCs w:val="32"/>
                <w:lang w:val="zh-CN" w:eastAsia="zh-CN" w:bidi="zh-CN"/>
              </w:rPr>
            </w:pPr>
          </w:p>
        </w:tc>
      </w:tr>
      <w:tr w14:paraId="63D4F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AA5B0C5">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787BFB3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345C8210">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（1）可能造成人员轻微的伤害（小的割伤、擦伤、撞伤）。</w:t>
            </w:r>
          </w:p>
        </w:tc>
        <w:tc>
          <w:tcPr>
            <w:vMerge w:val="restart"/>
            <w:shd w:val="clear" w:color="auto" w:fill="auto"/>
            <w:vAlign w:val="center"/>
          </w:tcPr>
          <w:p w14:paraId="43128AE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6558D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0F6E58C">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08E453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6BE595A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（1）可能造成设备或财产损失在2万元以下。</w:t>
            </w:r>
          </w:p>
        </w:tc>
        <w:tc>
          <w:tcPr>
            <w:vMerge w:val="continue"/>
            <w:shd w:val="clear" w:color="auto" w:fill="auto"/>
            <w:vAlign w:val="center"/>
          </w:tcPr>
          <w:p w14:paraId="15B9214F">
            <w:pPr>
              <w:widowControl w:val="0"/>
              <w:kinsoku/>
              <w:adjustRightInd/>
              <w:snapToGrid/>
              <w:textAlignment w:val="auto"/>
              <w:rPr>
                <w:rFonts w:hint="eastAsia" w:ascii="仿宋" w:hAnsi="仿宋" w:eastAsia="仿宋" w:cs="仿宋"/>
                <w:snapToGrid/>
                <w:sz w:val="32"/>
                <w:szCs w:val="32"/>
                <w:lang w:val="zh-CN" w:eastAsia="zh-CN" w:bidi="zh-CN"/>
              </w:rPr>
            </w:pPr>
          </w:p>
        </w:tc>
      </w:tr>
      <w:tr w14:paraId="42D62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8E296AF">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2A1FBA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2972F50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（1）造成设备异常。</w:t>
            </w:r>
          </w:p>
        </w:tc>
        <w:tc>
          <w:tcPr>
            <w:vMerge w:val="continue"/>
            <w:shd w:val="clear" w:color="auto" w:fill="auto"/>
            <w:vAlign w:val="center"/>
          </w:tcPr>
          <w:p w14:paraId="518040B6">
            <w:pPr>
              <w:widowControl w:val="0"/>
              <w:kinsoku/>
              <w:adjustRightInd/>
              <w:snapToGrid/>
              <w:textAlignment w:val="auto"/>
              <w:rPr>
                <w:rFonts w:hint="eastAsia" w:ascii="仿宋" w:hAnsi="仿宋" w:eastAsia="仿宋" w:cs="仿宋"/>
                <w:snapToGrid/>
                <w:sz w:val="32"/>
                <w:szCs w:val="32"/>
                <w:lang w:val="zh-CN" w:eastAsia="zh-CN" w:bidi="zh-CN"/>
              </w:rPr>
            </w:pPr>
          </w:p>
        </w:tc>
      </w:tr>
      <w:tr w14:paraId="2257A6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BF4422B">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C78F6C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34B578B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（1）对现场景观有轻度影响。</w:t>
            </w:r>
          </w:p>
        </w:tc>
        <w:tc>
          <w:tcPr>
            <w:vMerge w:val="continue"/>
            <w:shd w:val="clear" w:color="auto" w:fill="auto"/>
            <w:vAlign w:val="center"/>
          </w:tcPr>
          <w:p w14:paraId="17E81DAD">
            <w:pPr>
              <w:widowControl w:val="0"/>
              <w:kinsoku/>
              <w:adjustRightInd/>
              <w:snapToGrid/>
              <w:textAlignment w:val="auto"/>
              <w:rPr>
                <w:rFonts w:hint="eastAsia" w:ascii="仿宋" w:hAnsi="仿宋" w:eastAsia="仿宋" w:cs="仿宋"/>
                <w:snapToGrid/>
                <w:sz w:val="32"/>
                <w:szCs w:val="32"/>
                <w:lang w:val="zh-CN" w:eastAsia="zh-CN" w:bidi="zh-CN"/>
              </w:rPr>
            </w:pPr>
          </w:p>
        </w:tc>
      </w:tr>
      <w:tr w14:paraId="7B6A2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F64A85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6BF522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3298228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（1）可能造成1～2例有健康影响的事件。</w:t>
            </w:r>
          </w:p>
        </w:tc>
        <w:tc>
          <w:tcPr>
            <w:vMerge w:val="continue"/>
            <w:shd w:val="clear" w:color="auto" w:fill="auto"/>
            <w:vAlign w:val="center"/>
          </w:tcPr>
          <w:p w14:paraId="7A6833FD">
            <w:pPr>
              <w:widowControl w:val="0"/>
              <w:kinsoku/>
              <w:adjustRightInd/>
              <w:snapToGrid/>
              <w:textAlignment w:val="auto"/>
              <w:rPr>
                <w:rFonts w:hint="eastAsia" w:ascii="仿宋" w:hAnsi="仿宋" w:eastAsia="仿宋" w:cs="仿宋"/>
                <w:snapToGrid/>
                <w:sz w:val="32"/>
                <w:szCs w:val="32"/>
                <w:lang w:val="zh-CN" w:eastAsia="zh-CN" w:bidi="zh-CN"/>
              </w:rPr>
            </w:pPr>
          </w:p>
        </w:tc>
      </w:tr>
    </w:tbl>
    <w:p w14:paraId="786F14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eastAsia" w:ascii="仿宋" w:hAnsi="仿宋" w:eastAsia="仿宋" w:cs="仿宋"/>
          <w:b/>
          <w:bCs/>
          <w:sz w:val="32"/>
          <w:szCs w:val="32"/>
          <w:lang w:val="zh-CN" w:eastAsia="zh-CN" w:bidi="zh-CN"/>
        </w:rPr>
      </w:pPr>
    </w:p>
    <w:p w14:paraId="4EDAA08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表4</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风险等级（D=L×E×C）标准</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2098"/>
        <w:gridCol w:w="3607"/>
        <w:gridCol w:w="2711"/>
      </w:tblGrid>
      <w:tr w14:paraId="2747F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98" w:type="dxa"/>
            <w:shd w:val="clear" w:color="auto" w:fill="auto"/>
            <w:vAlign w:val="center"/>
          </w:tcPr>
          <w:p w14:paraId="223A8AE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tcW w:w="3607" w:type="dxa"/>
            <w:shd w:val="clear" w:color="auto" w:fill="auto"/>
            <w:vAlign w:val="center"/>
          </w:tcPr>
          <w:p w14:paraId="5D8D4BC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风险等级</w:t>
            </w:r>
          </w:p>
        </w:tc>
        <w:tc>
          <w:tcPr>
            <w:tcW w:w="2711" w:type="dxa"/>
            <w:shd w:val="clear" w:color="auto" w:fill="auto"/>
            <w:vAlign w:val="center"/>
          </w:tcPr>
          <w:p w14:paraId="2E1FC92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判定条件</w:t>
            </w:r>
          </w:p>
        </w:tc>
      </w:tr>
      <w:tr w14:paraId="1E4A68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98" w:type="dxa"/>
            <w:shd w:val="clear" w:color="auto" w:fill="auto"/>
            <w:vAlign w:val="center"/>
          </w:tcPr>
          <w:p w14:paraId="548D345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tcW w:w="3607" w:type="dxa"/>
            <w:shd w:val="clear" w:color="auto" w:fill="auto"/>
            <w:vAlign w:val="center"/>
          </w:tcPr>
          <w:p w14:paraId="40391D7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重大风险</w:t>
            </w:r>
          </w:p>
        </w:tc>
        <w:tc>
          <w:tcPr>
            <w:tcW w:w="2711" w:type="dxa"/>
            <w:shd w:val="clear" w:color="auto" w:fill="auto"/>
            <w:vAlign w:val="center"/>
          </w:tcPr>
          <w:p w14:paraId="0215367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D≥400</w:t>
            </w:r>
          </w:p>
        </w:tc>
      </w:tr>
      <w:tr w14:paraId="3256A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98" w:type="dxa"/>
            <w:shd w:val="clear" w:color="auto" w:fill="auto"/>
            <w:vAlign w:val="center"/>
          </w:tcPr>
          <w:p w14:paraId="70BF817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tcW w:w="3607" w:type="dxa"/>
            <w:shd w:val="clear" w:color="auto" w:fill="auto"/>
            <w:vAlign w:val="center"/>
          </w:tcPr>
          <w:p w14:paraId="7B5E861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较大风险</w:t>
            </w:r>
          </w:p>
        </w:tc>
        <w:tc>
          <w:tcPr>
            <w:tcW w:w="2711" w:type="dxa"/>
            <w:shd w:val="clear" w:color="auto" w:fill="auto"/>
            <w:vAlign w:val="center"/>
          </w:tcPr>
          <w:p w14:paraId="6C5FEC2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200≤D＜400</w:t>
            </w:r>
          </w:p>
        </w:tc>
      </w:tr>
      <w:tr w14:paraId="6699B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98" w:type="dxa"/>
            <w:shd w:val="clear" w:color="auto" w:fill="auto"/>
            <w:vAlign w:val="center"/>
          </w:tcPr>
          <w:p w14:paraId="1D5C744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tcW w:w="3607" w:type="dxa"/>
            <w:shd w:val="clear" w:color="auto" w:fill="auto"/>
            <w:vAlign w:val="center"/>
          </w:tcPr>
          <w:p w14:paraId="274B2BC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一般风险</w:t>
            </w:r>
          </w:p>
        </w:tc>
        <w:tc>
          <w:tcPr>
            <w:tcW w:w="2711" w:type="dxa"/>
            <w:shd w:val="clear" w:color="auto" w:fill="auto"/>
            <w:vAlign w:val="center"/>
          </w:tcPr>
          <w:p w14:paraId="147BC88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70≤D＜200</w:t>
            </w:r>
          </w:p>
        </w:tc>
      </w:tr>
      <w:tr w14:paraId="5016B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88" w:hRule="atLeast"/>
          <w:jc w:val="center"/>
        </w:trPr>
        <w:tc>
          <w:tcPr>
            <w:tcW w:w="2098" w:type="dxa"/>
            <w:shd w:val="clear" w:color="auto" w:fill="auto"/>
            <w:vAlign w:val="center"/>
          </w:tcPr>
          <w:p w14:paraId="0692877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tcW w:w="3607" w:type="dxa"/>
            <w:shd w:val="clear" w:color="auto" w:fill="auto"/>
            <w:vAlign w:val="center"/>
          </w:tcPr>
          <w:p w14:paraId="596964D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低风险</w:t>
            </w:r>
          </w:p>
        </w:tc>
        <w:tc>
          <w:tcPr>
            <w:tcW w:w="2711" w:type="dxa"/>
            <w:shd w:val="clear" w:color="auto" w:fill="auto"/>
            <w:vAlign w:val="center"/>
          </w:tcPr>
          <w:p w14:paraId="6BE3CE5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D＜70</w:t>
            </w:r>
          </w:p>
        </w:tc>
      </w:tr>
    </w:tbl>
    <w:p w14:paraId="4409CAD6">
      <w:pPr>
        <w:widowControl w:val="0"/>
        <w:kinsoku/>
        <w:adjustRightInd/>
        <w:snapToGrid/>
        <w:textAlignment w:val="auto"/>
        <w:rPr>
          <w:rFonts w:hint="eastAsia" w:ascii="仿宋" w:hAnsi="仿宋" w:eastAsia="仿宋" w:cs="仿宋"/>
          <w:snapToGrid/>
          <w:sz w:val="32"/>
          <w:szCs w:val="32"/>
          <w:lang w:val="zh-CN" w:eastAsia="zh-CN" w:bidi="zh-CN"/>
        </w:rPr>
      </w:pPr>
    </w:p>
    <w:p w14:paraId="7C4F7E2A">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pacing w:val="0"/>
          <w:sz w:val="32"/>
          <w:szCs w:val="32"/>
          <w:lang w:eastAsia="zh-CN"/>
        </w:rPr>
      </w:pPr>
      <w:bookmarkStart w:id="95" w:name="_GoBack"/>
      <w:bookmarkEnd w:id="95"/>
    </w:p>
    <w:sectPr>
      <w:footerReference r:id="rId5" w:type="default"/>
      <w:pgSz w:w="11906" w:h="16838"/>
      <w:pgMar w:top="1440" w:right="1800" w:bottom="1440" w:left="180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D4B0B6-3B01-40E5-8BF5-5348C3EA6E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7A48F03-2713-4CD2-912B-BB3EA146941C}"/>
  </w:font>
  <w:font w:name="方正小标宋简体">
    <w:panose1 w:val="02010600010101010101"/>
    <w:charset w:val="86"/>
    <w:family w:val="auto"/>
    <w:pitch w:val="default"/>
    <w:sig w:usb0="00000001" w:usb1="080E0000" w:usb2="00000000" w:usb3="00000000" w:csb0="00040000" w:csb1="00000000"/>
    <w:embedRegular r:id="rId3" w:fontKey="{E8C1B143-C093-494F-8599-3BCCBFB5AB12}"/>
  </w:font>
  <w:font w:name="楷体">
    <w:panose1 w:val="02010609060101010101"/>
    <w:charset w:val="86"/>
    <w:family w:val="modern"/>
    <w:pitch w:val="default"/>
    <w:sig w:usb0="800002BF" w:usb1="38CF7CFA" w:usb2="00000016" w:usb3="00000000" w:csb0="00040001" w:csb1="00000000"/>
    <w:embedRegular r:id="rId4" w:fontKey="{17AC8A51-DAB6-45AC-8147-E85D182F038F}"/>
  </w:font>
  <w:font w:name="仿宋_GB2312">
    <w:panose1 w:val="02010609030101010101"/>
    <w:charset w:val="86"/>
    <w:family w:val="auto"/>
    <w:pitch w:val="default"/>
    <w:sig w:usb0="00000001" w:usb1="080E0000" w:usb2="00000000" w:usb3="00000000" w:csb0="00040000" w:csb1="00000000"/>
    <w:embedRegular r:id="rId5" w:fontKey="{411F827A-F4F5-479F-9818-4FAE72AC7E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965B8">
    <w:pPr>
      <w:pStyle w:val="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AC2D">
    <w:pPr>
      <w:pStyle w:val="5"/>
      <w:spacing w:line="14" w:lineRule="auto"/>
      <w:ind w:left="0" w:firstLine="0"/>
      <w:rPr>
        <w:rFonts w:hint="eastAsia"/>
        <w:sz w:val="20"/>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37870" cy="209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870" cy="209550"/>
                      </a:xfrm>
                      <a:prstGeom prst="rect">
                        <a:avLst/>
                      </a:prstGeom>
                      <a:noFill/>
                      <a:ln>
                        <a:noFill/>
                      </a:ln>
                    </wps:spPr>
                    <wps:txbx>
                      <w:txbxContent>
                        <w:p w14:paraId="67F6E87D">
                          <w:pPr>
                            <w:spacing w:before="12"/>
                            <w:ind w:left="20"/>
                            <w:jc w:val="both"/>
                            <w:rPr>
                              <w:rFonts w:hint="eastAsia" w:asciiTheme="majorEastAsia" w:hAnsiTheme="majorEastAsia" w:eastAsiaTheme="majorEastAsia" w:cstheme="majorEastAsia"/>
                              <w:sz w:val="28"/>
                              <w:szCs w:val="40"/>
                            </w:rPr>
                          </w:pPr>
                          <w:r>
                            <w:rPr>
                              <w:rFonts w:hint="eastAsia" w:asciiTheme="majorEastAsia" w:hAnsiTheme="majorEastAsia" w:eastAsiaTheme="majorEastAsia" w:cstheme="majorEastAsia"/>
                              <w:sz w:val="28"/>
                              <w:szCs w:val="40"/>
                            </w:rPr>
                            <w:t xml:space="preserve">— </w:t>
                          </w:r>
                          <w:r>
                            <w:rPr>
                              <w:rFonts w:hint="eastAsia" w:asciiTheme="majorEastAsia" w:hAnsiTheme="majorEastAsia" w:eastAsiaTheme="majorEastAsia" w:cstheme="majorEastAsia"/>
                              <w:sz w:val="28"/>
                              <w:szCs w:val="40"/>
                            </w:rPr>
                            <w:fldChar w:fldCharType="begin"/>
                          </w:r>
                          <w:r>
                            <w:rPr>
                              <w:rFonts w:hint="eastAsia" w:asciiTheme="majorEastAsia" w:hAnsiTheme="majorEastAsia" w:eastAsiaTheme="majorEastAsia" w:cstheme="majorEastAsia"/>
                              <w:sz w:val="28"/>
                              <w:szCs w:val="40"/>
                            </w:rPr>
                            <w:instrText xml:space="preserve"> PAGE  \* MERGEFORMAT </w:instrText>
                          </w:r>
                          <w:r>
                            <w:rPr>
                              <w:rFonts w:hint="eastAsia" w:asciiTheme="majorEastAsia" w:hAnsiTheme="majorEastAsia" w:eastAsiaTheme="majorEastAsia" w:cstheme="majorEastAsia"/>
                              <w:sz w:val="28"/>
                              <w:szCs w:val="40"/>
                            </w:rPr>
                            <w:fldChar w:fldCharType="separate"/>
                          </w:r>
                          <w:r>
                            <w:rPr>
                              <w:rFonts w:hint="eastAsia" w:asciiTheme="majorEastAsia" w:hAnsiTheme="majorEastAsia" w:eastAsiaTheme="majorEastAsia" w:cstheme="majorEastAsia"/>
                              <w:sz w:val="28"/>
                              <w:szCs w:val="40"/>
                            </w:rPr>
                            <w:t>1</w:t>
                          </w:r>
                          <w:r>
                            <w:rPr>
                              <w:rFonts w:hint="eastAsia" w:asciiTheme="majorEastAsia" w:hAnsiTheme="majorEastAsia" w:eastAsiaTheme="majorEastAsia" w:cstheme="majorEastAsia"/>
                              <w:sz w:val="28"/>
                              <w:szCs w:val="40"/>
                            </w:rPr>
                            <w:fldChar w:fldCharType="end"/>
                          </w:r>
                          <w:r>
                            <w:rPr>
                              <w:rFonts w:hint="eastAsia" w:asciiTheme="majorEastAsia" w:hAnsiTheme="majorEastAsia" w:eastAsiaTheme="majorEastAsia" w:cstheme="majorEastAsia"/>
                              <w:sz w:val="28"/>
                              <w:szCs w:val="40"/>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5pt;width:58.1pt;mso-position-horizontal:right;mso-position-horizontal-relative:margin;z-index:251659264;mso-width-relative:page;mso-height-relative:page;" filled="f" stroked="f" coordsize="21600,21600" o:gfxdata="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mYjnUAAAABAEAAA8AAAAAAAAAAQAgAAAAIgAAAGRycy9kb3ducmV2LnhtbFBLAQIUABQA&#10;AAAIAIdO4kCxrnLVuwEAAHEDAAAOAAAAAAAAAAEAIAAAACMBAABkcnMvZTJvRG9jLnhtbFBLBQYA&#10;AAAABgAGAFkBAABQBQAAAAA=&#10;">
              <v:fill on="f" focussize="0,0"/>
              <v:stroke on="f"/>
              <v:imagedata o:title=""/>
              <o:lock v:ext="edit" aspectratio="f"/>
              <v:textbox inset="0mm,0mm,0mm,0mm">
                <w:txbxContent>
                  <w:p w14:paraId="67F6E87D">
                    <w:pPr>
                      <w:spacing w:before="12"/>
                      <w:ind w:left="20"/>
                      <w:jc w:val="both"/>
                      <w:rPr>
                        <w:rFonts w:hint="eastAsia" w:asciiTheme="majorEastAsia" w:hAnsiTheme="majorEastAsia" w:eastAsiaTheme="majorEastAsia" w:cstheme="majorEastAsia"/>
                        <w:sz w:val="28"/>
                        <w:szCs w:val="40"/>
                      </w:rPr>
                    </w:pPr>
                    <w:r>
                      <w:rPr>
                        <w:rFonts w:hint="eastAsia" w:asciiTheme="majorEastAsia" w:hAnsiTheme="majorEastAsia" w:eastAsiaTheme="majorEastAsia" w:cstheme="majorEastAsia"/>
                        <w:sz w:val="28"/>
                        <w:szCs w:val="40"/>
                      </w:rPr>
                      <w:t xml:space="preserve">— </w:t>
                    </w:r>
                    <w:r>
                      <w:rPr>
                        <w:rFonts w:hint="eastAsia" w:asciiTheme="majorEastAsia" w:hAnsiTheme="majorEastAsia" w:eastAsiaTheme="majorEastAsia" w:cstheme="majorEastAsia"/>
                        <w:sz w:val="28"/>
                        <w:szCs w:val="40"/>
                      </w:rPr>
                      <w:fldChar w:fldCharType="begin"/>
                    </w:r>
                    <w:r>
                      <w:rPr>
                        <w:rFonts w:hint="eastAsia" w:asciiTheme="majorEastAsia" w:hAnsiTheme="majorEastAsia" w:eastAsiaTheme="majorEastAsia" w:cstheme="majorEastAsia"/>
                        <w:sz w:val="28"/>
                        <w:szCs w:val="40"/>
                      </w:rPr>
                      <w:instrText xml:space="preserve"> PAGE  \* MERGEFORMAT </w:instrText>
                    </w:r>
                    <w:r>
                      <w:rPr>
                        <w:rFonts w:hint="eastAsia" w:asciiTheme="majorEastAsia" w:hAnsiTheme="majorEastAsia" w:eastAsiaTheme="majorEastAsia" w:cstheme="majorEastAsia"/>
                        <w:sz w:val="28"/>
                        <w:szCs w:val="40"/>
                      </w:rPr>
                      <w:fldChar w:fldCharType="separate"/>
                    </w:r>
                    <w:r>
                      <w:rPr>
                        <w:rFonts w:hint="eastAsia" w:asciiTheme="majorEastAsia" w:hAnsiTheme="majorEastAsia" w:eastAsiaTheme="majorEastAsia" w:cstheme="majorEastAsia"/>
                        <w:sz w:val="28"/>
                        <w:szCs w:val="40"/>
                      </w:rPr>
                      <w:t>1</w:t>
                    </w:r>
                    <w:r>
                      <w:rPr>
                        <w:rFonts w:hint="eastAsia" w:asciiTheme="majorEastAsia" w:hAnsiTheme="majorEastAsia" w:eastAsiaTheme="majorEastAsia" w:cstheme="majorEastAsia"/>
                        <w:sz w:val="28"/>
                        <w:szCs w:val="40"/>
                      </w:rPr>
                      <w:fldChar w:fldCharType="end"/>
                    </w:r>
                    <w:r>
                      <w:rPr>
                        <w:rFonts w:hint="eastAsia" w:asciiTheme="majorEastAsia" w:hAnsiTheme="majorEastAsia" w:eastAsiaTheme="majorEastAsia" w:cstheme="majorEastAsia"/>
                        <w:sz w:val="28"/>
                        <w:szCs w:val="4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BB8B">
    <w:pPr>
      <w:widowControl w:val="0"/>
      <w:tabs>
        <w:tab w:val="center" w:pos="4153"/>
        <w:tab w:val="right" w:pos="8306"/>
      </w:tabs>
      <w:autoSpaceDE w:val="0"/>
      <w:autoSpaceDN w:val="0"/>
      <w:snapToGrid w:val="0"/>
      <w:jc w:val="center"/>
      <w:rPr>
        <w:rFonts w:ascii="宋体" w:hAnsi="宋体" w:eastAsia="宋体" w:cs="宋体"/>
        <w:sz w:val="18"/>
        <w:szCs w:val="22"/>
        <w:lang w:val="zh-CN" w:eastAsia="zh-CN" w:bidi="zh-CN"/>
      </w:rPr>
    </w:pPr>
    <w:r>
      <w:rPr>
        <w:rFonts w:ascii="宋体" w:hAnsi="宋体" w:eastAsia="宋体" w:cs="宋体"/>
        <w:sz w:val="18"/>
        <w:szCs w:val="22"/>
        <w:lang w:val="zh-CN" w:eastAsia="zh-CN" w:bidi="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36485">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t>—</w:t>
                          </w:r>
                          <w:r>
                            <w:rPr>
                              <w:rFonts w:hint="eastAsia" w:ascii="仿宋" w:hAnsi="仿宋" w:eastAsia="仿宋" w:cs="仿宋"/>
                              <w:sz w:val="32"/>
                              <w:szCs w:val="32"/>
                              <w:lang w:val="zh-CN" w:eastAsia="zh-CN" w:bidi="zh-CN"/>
                            </w:rPr>
                            <w:t xml:space="preserve"> </w:t>
                          </w:r>
                          <w:r>
                            <w:rPr>
                              <w:rFonts w:hint="eastAsia" w:ascii="仿宋" w:hAnsi="仿宋" w:eastAsia="仿宋" w:cs="仿宋"/>
                              <w:sz w:val="32"/>
                              <w:szCs w:val="32"/>
                              <w:lang w:val="zh-CN" w:eastAsia="zh-CN" w:bidi="zh-CN"/>
                            </w:rPr>
                            <w:fldChar w:fldCharType="begin"/>
                          </w:r>
                          <w:r>
                            <w:rPr>
                              <w:rFonts w:hint="eastAsia" w:ascii="仿宋" w:hAnsi="仿宋" w:eastAsia="仿宋" w:cs="仿宋"/>
                              <w:sz w:val="32"/>
                              <w:szCs w:val="32"/>
                              <w:lang w:val="zh-CN" w:eastAsia="zh-CN" w:bidi="zh-CN"/>
                            </w:rPr>
                            <w:instrText xml:space="preserve"> PAGE  \* MERGEFORMAT </w:instrText>
                          </w:r>
                          <w:r>
                            <w:rPr>
                              <w:rFonts w:hint="eastAsia" w:ascii="仿宋" w:hAnsi="仿宋" w:eastAsia="仿宋" w:cs="仿宋"/>
                              <w:sz w:val="32"/>
                              <w:szCs w:val="32"/>
                              <w:lang w:val="zh-CN" w:eastAsia="zh-CN" w:bidi="zh-CN"/>
                            </w:rPr>
                            <w:fldChar w:fldCharType="separate"/>
                          </w:r>
                          <w:r>
                            <w:rPr>
                              <w:rFonts w:hint="eastAsia" w:ascii="仿宋" w:hAnsi="仿宋" w:eastAsia="仿宋" w:cs="仿宋"/>
                              <w:sz w:val="32"/>
                              <w:szCs w:val="32"/>
                              <w:lang w:val="zh-CN" w:eastAsia="zh-CN" w:bidi="zh-CN"/>
                            </w:rPr>
                            <w:t>34</w:t>
                          </w:r>
                          <w:r>
                            <w:rPr>
                              <w:rFonts w:hint="eastAsia" w:ascii="仿宋" w:hAnsi="仿宋" w:eastAsia="仿宋" w:cs="仿宋"/>
                              <w:sz w:val="32"/>
                              <w:szCs w:val="32"/>
                              <w:lang w:val="zh-CN" w:eastAsia="zh-CN" w:bidi="zh-CN"/>
                            </w:rPr>
                            <w:fldChar w:fldCharType="end"/>
                          </w:r>
                          <w:r>
                            <w:rPr>
                              <w:rFonts w:hint="eastAsia" w:ascii="仿宋" w:hAnsi="仿宋" w:eastAsia="仿宋" w:cs="仿宋"/>
                              <w:sz w:val="32"/>
                              <w:szCs w:val="32"/>
                              <w:lang w:val="zh-CN" w:eastAsia="zh-CN" w:bidi="zh-CN"/>
                            </w:rPr>
                            <w:t xml:space="preserve"> </w:t>
                          </w:r>
                          <w:r>
                            <w:rPr>
                              <w:rFonts w:ascii="宋体" w:hAnsi="宋体" w:eastAsia="宋体" w:cs="宋体"/>
                              <w:sz w:val="18"/>
                              <w:szCs w:val="22"/>
                              <w:lang w:val="zh-CN" w:eastAsia="zh-CN" w:bidi="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2536485">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t>—</w:t>
                    </w:r>
                    <w:r>
                      <w:rPr>
                        <w:rFonts w:hint="eastAsia" w:ascii="仿宋" w:hAnsi="仿宋" w:eastAsia="仿宋" w:cs="仿宋"/>
                        <w:sz w:val="32"/>
                        <w:szCs w:val="32"/>
                        <w:lang w:val="zh-CN" w:eastAsia="zh-CN" w:bidi="zh-CN"/>
                      </w:rPr>
                      <w:t xml:space="preserve"> </w:t>
                    </w:r>
                    <w:r>
                      <w:rPr>
                        <w:rFonts w:hint="eastAsia" w:ascii="仿宋" w:hAnsi="仿宋" w:eastAsia="仿宋" w:cs="仿宋"/>
                        <w:sz w:val="32"/>
                        <w:szCs w:val="32"/>
                        <w:lang w:val="zh-CN" w:eastAsia="zh-CN" w:bidi="zh-CN"/>
                      </w:rPr>
                      <w:fldChar w:fldCharType="begin"/>
                    </w:r>
                    <w:r>
                      <w:rPr>
                        <w:rFonts w:hint="eastAsia" w:ascii="仿宋" w:hAnsi="仿宋" w:eastAsia="仿宋" w:cs="仿宋"/>
                        <w:sz w:val="32"/>
                        <w:szCs w:val="32"/>
                        <w:lang w:val="zh-CN" w:eastAsia="zh-CN" w:bidi="zh-CN"/>
                      </w:rPr>
                      <w:instrText xml:space="preserve"> PAGE  \* MERGEFORMAT </w:instrText>
                    </w:r>
                    <w:r>
                      <w:rPr>
                        <w:rFonts w:hint="eastAsia" w:ascii="仿宋" w:hAnsi="仿宋" w:eastAsia="仿宋" w:cs="仿宋"/>
                        <w:sz w:val="32"/>
                        <w:szCs w:val="32"/>
                        <w:lang w:val="zh-CN" w:eastAsia="zh-CN" w:bidi="zh-CN"/>
                      </w:rPr>
                      <w:fldChar w:fldCharType="separate"/>
                    </w:r>
                    <w:r>
                      <w:rPr>
                        <w:rFonts w:hint="eastAsia" w:ascii="仿宋" w:hAnsi="仿宋" w:eastAsia="仿宋" w:cs="仿宋"/>
                        <w:sz w:val="32"/>
                        <w:szCs w:val="32"/>
                        <w:lang w:val="zh-CN" w:eastAsia="zh-CN" w:bidi="zh-CN"/>
                      </w:rPr>
                      <w:t>34</w:t>
                    </w:r>
                    <w:r>
                      <w:rPr>
                        <w:rFonts w:hint="eastAsia" w:ascii="仿宋" w:hAnsi="仿宋" w:eastAsia="仿宋" w:cs="仿宋"/>
                        <w:sz w:val="32"/>
                        <w:szCs w:val="32"/>
                        <w:lang w:val="zh-CN" w:eastAsia="zh-CN" w:bidi="zh-CN"/>
                      </w:rPr>
                      <w:fldChar w:fldCharType="end"/>
                    </w:r>
                    <w:r>
                      <w:rPr>
                        <w:rFonts w:hint="eastAsia" w:ascii="仿宋" w:hAnsi="仿宋" w:eastAsia="仿宋" w:cs="仿宋"/>
                        <w:sz w:val="32"/>
                        <w:szCs w:val="32"/>
                        <w:lang w:val="zh-CN" w:eastAsia="zh-CN" w:bidi="zh-CN"/>
                      </w:rPr>
                      <w:t xml:space="preserve"> </w:t>
                    </w:r>
                    <w:r>
                      <w:rPr>
                        <w:rFonts w:ascii="宋体" w:hAnsi="宋体" w:eastAsia="宋体" w:cs="宋体"/>
                        <w:sz w:val="18"/>
                        <w:szCs w:val="22"/>
                        <w:lang w:val="zh-CN" w:eastAsia="zh-CN" w:bidi="zh-CN"/>
                      </w:rPr>
                      <w:t>—</w:t>
                    </w:r>
                  </w:p>
                </w:txbxContent>
              </v:textbox>
            </v:shape>
          </w:pict>
        </mc:Fallback>
      </mc:AlternateContent>
    </w:r>
  </w:p>
  <w:p w14:paraId="4369BE09">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126C94"/>
    <w:rsid w:val="00126C94"/>
    <w:rsid w:val="004F0038"/>
    <w:rsid w:val="0054212D"/>
    <w:rsid w:val="0064181E"/>
    <w:rsid w:val="00752D64"/>
    <w:rsid w:val="009E2DD5"/>
    <w:rsid w:val="00BE2F4A"/>
    <w:rsid w:val="00C57C17"/>
    <w:rsid w:val="00DC7C1D"/>
    <w:rsid w:val="00E148C5"/>
    <w:rsid w:val="011E2A15"/>
    <w:rsid w:val="02773F15"/>
    <w:rsid w:val="02BB54A8"/>
    <w:rsid w:val="02CC1962"/>
    <w:rsid w:val="02DC5A3C"/>
    <w:rsid w:val="03C74658"/>
    <w:rsid w:val="045533CC"/>
    <w:rsid w:val="07807554"/>
    <w:rsid w:val="07956F5F"/>
    <w:rsid w:val="08DF4D9D"/>
    <w:rsid w:val="092959CA"/>
    <w:rsid w:val="092B4317"/>
    <w:rsid w:val="0C947F8E"/>
    <w:rsid w:val="0CDE6ACB"/>
    <w:rsid w:val="0D7F3E0A"/>
    <w:rsid w:val="0D9D1638"/>
    <w:rsid w:val="0FBB1FCB"/>
    <w:rsid w:val="10757052"/>
    <w:rsid w:val="1276219B"/>
    <w:rsid w:val="16143E01"/>
    <w:rsid w:val="16710E2A"/>
    <w:rsid w:val="16775FC6"/>
    <w:rsid w:val="16B96248"/>
    <w:rsid w:val="197D6787"/>
    <w:rsid w:val="1A0A35C3"/>
    <w:rsid w:val="1A1C1B36"/>
    <w:rsid w:val="1AD35795"/>
    <w:rsid w:val="1CF8317A"/>
    <w:rsid w:val="1D951428"/>
    <w:rsid w:val="1F811C64"/>
    <w:rsid w:val="1FC42804"/>
    <w:rsid w:val="216B594A"/>
    <w:rsid w:val="21706F63"/>
    <w:rsid w:val="227E06DD"/>
    <w:rsid w:val="23E77E34"/>
    <w:rsid w:val="255B6965"/>
    <w:rsid w:val="28EA4A99"/>
    <w:rsid w:val="298D0101"/>
    <w:rsid w:val="2A745775"/>
    <w:rsid w:val="30071D11"/>
    <w:rsid w:val="308E19D8"/>
    <w:rsid w:val="3195044B"/>
    <w:rsid w:val="31D64091"/>
    <w:rsid w:val="338036CC"/>
    <w:rsid w:val="33A93233"/>
    <w:rsid w:val="34A43FD3"/>
    <w:rsid w:val="34B67746"/>
    <w:rsid w:val="364B007D"/>
    <w:rsid w:val="394A720B"/>
    <w:rsid w:val="3A481A17"/>
    <w:rsid w:val="3A5F1312"/>
    <w:rsid w:val="3A960213"/>
    <w:rsid w:val="3B63625E"/>
    <w:rsid w:val="3C2D2C5B"/>
    <w:rsid w:val="3CE26DA5"/>
    <w:rsid w:val="3D7D1865"/>
    <w:rsid w:val="3DEA267B"/>
    <w:rsid w:val="3E410AE4"/>
    <w:rsid w:val="3F073ADC"/>
    <w:rsid w:val="3F6F342F"/>
    <w:rsid w:val="3FCB0206"/>
    <w:rsid w:val="40560BA4"/>
    <w:rsid w:val="40F07072"/>
    <w:rsid w:val="43175059"/>
    <w:rsid w:val="43620951"/>
    <w:rsid w:val="43BB0257"/>
    <w:rsid w:val="43F805A6"/>
    <w:rsid w:val="458B3032"/>
    <w:rsid w:val="45A56E03"/>
    <w:rsid w:val="477D06D5"/>
    <w:rsid w:val="49141C72"/>
    <w:rsid w:val="4C0513A3"/>
    <w:rsid w:val="4C650F00"/>
    <w:rsid w:val="4C6D5C2A"/>
    <w:rsid w:val="4E476366"/>
    <w:rsid w:val="4FC25B8B"/>
    <w:rsid w:val="4FFB5292"/>
    <w:rsid w:val="502B5150"/>
    <w:rsid w:val="526563EA"/>
    <w:rsid w:val="54260108"/>
    <w:rsid w:val="55022203"/>
    <w:rsid w:val="575925A3"/>
    <w:rsid w:val="58A66B1D"/>
    <w:rsid w:val="596671F9"/>
    <w:rsid w:val="59F40CA9"/>
    <w:rsid w:val="5A39777E"/>
    <w:rsid w:val="5A512B5B"/>
    <w:rsid w:val="5BA0143E"/>
    <w:rsid w:val="60453A0D"/>
    <w:rsid w:val="60485453"/>
    <w:rsid w:val="61041919"/>
    <w:rsid w:val="62535F01"/>
    <w:rsid w:val="63FA2A0E"/>
    <w:rsid w:val="64FB2B43"/>
    <w:rsid w:val="65E54DB4"/>
    <w:rsid w:val="65E85A15"/>
    <w:rsid w:val="66ED1D94"/>
    <w:rsid w:val="672E04AC"/>
    <w:rsid w:val="699E08C2"/>
    <w:rsid w:val="69F41E03"/>
    <w:rsid w:val="6D0006C4"/>
    <w:rsid w:val="6EE43049"/>
    <w:rsid w:val="6F9208F0"/>
    <w:rsid w:val="70375E28"/>
    <w:rsid w:val="70577046"/>
    <w:rsid w:val="70B623BC"/>
    <w:rsid w:val="74036E8C"/>
    <w:rsid w:val="74D56B03"/>
    <w:rsid w:val="74E724EC"/>
    <w:rsid w:val="75414CC6"/>
    <w:rsid w:val="757667EE"/>
    <w:rsid w:val="75F728CA"/>
    <w:rsid w:val="766B1DCC"/>
    <w:rsid w:val="76B31878"/>
    <w:rsid w:val="77475F97"/>
    <w:rsid w:val="78AD0549"/>
    <w:rsid w:val="79E445E2"/>
    <w:rsid w:val="7A2D77AA"/>
    <w:rsid w:val="7B4B5BEE"/>
    <w:rsid w:val="7B5E3257"/>
    <w:rsid w:val="7B9D48A5"/>
    <w:rsid w:val="7BE3712E"/>
    <w:rsid w:val="7BFC15CB"/>
    <w:rsid w:val="7C1D7DBF"/>
    <w:rsid w:val="7C8B579E"/>
    <w:rsid w:val="7E9F7161"/>
    <w:rsid w:val="7EC35156"/>
    <w:rsid w:val="7EEA2CAF"/>
    <w:rsid w:val="7EFD1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Hyperlink"/>
    <w:basedOn w:val="11"/>
    <w:qFormat/>
    <w:uiPriority w:val="0"/>
    <w:rPr>
      <w:color w:val="0000FF"/>
      <w:u w:val="single"/>
    </w:rPr>
  </w:style>
  <w:style w:type="paragraph" w:customStyle="1" w:styleId="13">
    <w:name w:val="No Spacing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2"/>
      <w:sz w:val="32"/>
      <w:szCs w:val="32"/>
      <w:lang w:val="en-US" w:eastAsia="zh-CN" w:bidi="ar"/>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paragraph" w:customStyle="1" w:styleId="16">
    <w:name w:val="Table Paragraph"/>
    <w:basedOn w:val="1"/>
    <w:qFormat/>
    <w:uiPriority w:val="1"/>
    <w:pPr>
      <w:jc w:val="center"/>
    </w:pPr>
  </w:style>
  <w:style w:type="paragraph" w:customStyle="1" w:styleId="17">
    <w:name w:val="First Paragraph"/>
    <w:basedOn w:val="1"/>
    <w:next w:val="5"/>
    <w:qFormat/>
    <w:uiPriority w:val="0"/>
    <w:pPr>
      <w:spacing w:before="180"/>
      <w:ind w:firstLine="480" w:firstLineChars="200"/>
    </w:pPr>
    <w:rPr>
      <w:lang w:eastAsia="zh-CN"/>
    </w:rPr>
  </w:style>
  <w:style w:type="paragraph" w:customStyle="1" w:styleId="18">
    <w:name w:val="Compact"/>
    <w:basedOn w:val="5"/>
    <w:qFormat/>
    <w:uiPriority w:val="0"/>
    <w:pPr>
      <w:spacing w:before="60" w:after="60"/>
      <w:ind w:firstLine="0" w:firstLineChars="0"/>
    </w:pPr>
  </w:style>
  <w:style w:type="table" w:customStyle="1" w:styleId="19">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ea308fdd-825f-47f0-a72b-0d7a52a5e7b5</errorID>
      <errorWord>，</errorWord>
      <group>L1_Grammar</group>
      <groupName>语法问题</groupName>
      <ability>L2_Missing</ability>
      <abilityName>成分残缺</abilityName>
      <candidateList>
        <item>的要求，</item>
      </candidateList>
      <explain>句子中可能存在主谓宾、修饰语或者必要的词语残缺。</explain>
      <paraID>4F63D9A5</paraID>
      <start>67</start>
      <end>71</end>
      <status>modified</status>
      <modifiedWord>的要求，</modifiedWord>
      <trackRevisions>false</trackRevisions>
    </reviewItem>
    <reviewItem>
      <errorID>4a0fd06d-4076-4f50-b718-7e40ffb19441</errorID>
      <errorWord>食品中</errorWord>
      <group>L1_Word</group>
      <groupName>字词问题</groupName>
      <ability>L2_Typo</ability>
      <abilityName>字词错误</abilityName>
      <candidateList>
        <item>食品</item>
      </candidateList>
      <explain>〈名〉商店出售的经过加工制作的食物：罐头～｜～公司。</explain>
      <paraID>4A45E089</paraID>
      <start>38</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698f01-aca1-447a-a88b-53cde8e1865b}">
  <ds:schemaRefs/>
</ds:datastoreItem>
</file>

<file path=docProps/app.xml><?xml version="1.0" encoding="utf-8"?>
<Properties xmlns="http://schemas.openxmlformats.org/officeDocument/2006/extended-properties" xmlns:vt="http://schemas.openxmlformats.org/officeDocument/2006/docPropsVTypes">
  <Template>Normal</Template>
  <Pages>36</Pages>
  <Words>11270</Words>
  <Characters>11424</Characters>
  <Lines>368</Lines>
  <Paragraphs>377</Paragraphs>
  <TotalTime>19</TotalTime>
  <ScaleCrop>false</ScaleCrop>
  <LinksUpToDate>false</LinksUpToDate>
  <CharactersWithSpaces>11565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2023-10-19T11:17:00Z</dcterms:created>
  <dc:creator>Microsoft</dc:creator>
  <cp:lastModifiedBy>A</cp:lastModifiedBy>
  <cp:lastPrinted>2025-10-23T08:59:00Z</cp:lastPrinted>
  <dcterms:modified xsi:type="dcterms:W3CDTF">2026-02-02T06:57:29Z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2025-09-16T16:13:57Z</vt:filetime>
  </property>
  <property fmtid="{D5CDD505-2E9C-101B-9397-08002B2CF9AE}" pid="4" name="KSOTemplateDocerSaveRecord">
    <vt:lpwstr>eyJoZGlkIjoiMGQ0ODlkZjk1YWVhMmM1YjE4NTliNDE5NmJiMTdmNGMiLCJ1c2VySWQiOiIyNTc2OTIxMzcifQ==</vt:lpwstr>
  </property>
  <property fmtid="{D5CDD505-2E9C-101B-9397-08002B2CF9AE}" pid="5" name="KSOProductBuildVer">
    <vt:lpwstr>2052-12.1.0.24657</vt:lpwstr>
  </property>
  <property fmtid="{D5CDD505-2E9C-101B-9397-08002B2CF9AE}" pid="6" name="ICV">
    <vt:lpwstr>C061244DAE6043E1B067D38F996485EB_13</vt:lpwstr>
  </property>
</Properties>
</file>